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8D" w:rsidRPr="006B0CBE" w:rsidRDefault="00CB0D8D" w:rsidP="00CB0D8D">
      <w:pPr>
        <w:pStyle w:val="Ttulo2"/>
        <w:spacing w:line="259" w:lineRule="auto"/>
        <w:ind w:left="1152"/>
        <w:jc w:val="center"/>
        <w:rPr>
          <w:rStyle w:val="Forte"/>
          <w:rFonts w:cstheme="majorHAnsi"/>
          <w:b/>
          <w:color w:val="auto"/>
          <w:sz w:val="24"/>
          <w:szCs w:val="24"/>
        </w:rPr>
      </w:pPr>
      <w:r w:rsidRPr="006B0CBE">
        <w:rPr>
          <w:rStyle w:val="Forte"/>
          <w:rFonts w:cstheme="majorHAnsi"/>
          <w:b/>
          <w:color w:val="auto"/>
          <w:sz w:val="24"/>
          <w:szCs w:val="24"/>
        </w:rPr>
        <w:t xml:space="preserve">APÊNDICE 1 - </w:t>
      </w:r>
      <w:r w:rsidR="00866AD8" w:rsidRPr="006B0CBE">
        <w:rPr>
          <w:rStyle w:val="Forte"/>
          <w:rFonts w:cstheme="majorHAnsi"/>
          <w:b/>
          <w:color w:val="auto"/>
          <w:sz w:val="24"/>
          <w:szCs w:val="24"/>
        </w:rPr>
        <w:t xml:space="preserve">ANEXO I </w:t>
      </w:r>
    </w:p>
    <w:p w:rsidR="00D03DCE" w:rsidRPr="006B0CBE" w:rsidRDefault="00D03DCE" w:rsidP="00CB0D8D">
      <w:pPr>
        <w:pStyle w:val="Ttulo2"/>
        <w:spacing w:line="259" w:lineRule="auto"/>
        <w:ind w:left="1152"/>
        <w:jc w:val="center"/>
        <w:rPr>
          <w:rStyle w:val="Forte"/>
          <w:rFonts w:cstheme="majorHAnsi"/>
          <w:b/>
          <w:color w:val="auto"/>
          <w:sz w:val="24"/>
          <w:szCs w:val="24"/>
        </w:rPr>
      </w:pPr>
      <w:r w:rsidRPr="006B0CBE">
        <w:rPr>
          <w:rStyle w:val="Forte"/>
          <w:rFonts w:cstheme="majorHAnsi"/>
          <w:b/>
          <w:color w:val="auto"/>
          <w:sz w:val="24"/>
          <w:szCs w:val="24"/>
        </w:rPr>
        <w:t>HABILITAÇÃO.</w:t>
      </w:r>
    </w:p>
    <w:p w:rsidR="007912A0" w:rsidRPr="006B0CBE" w:rsidRDefault="007912A0" w:rsidP="000760D4">
      <w:pPr>
        <w:pStyle w:val="Ttulo2"/>
        <w:spacing w:line="259" w:lineRule="auto"/>
        <w:jc w:val="both"/>
        <w:rPr>
          <w:rStyle w:val="Forte"/>
          <w:rFonts w:cstheme="majorHAnsi"/>
          <w:b/>
          <w:color w:val="auto"/>
          <w:sz w:val="24"/>
          <w:szCs w:val="24"/>
        </w:rPr>
      </w:pPr>
      <w:r w:rsidRPr="006B0CBE">
        <w:rPr>
          <w:rStyle w:val="Forte"/>
          <w:rFonts w:cstheme="majorHAnsi"/>
          <w:b/>
          <w:color w:val="auto"/>
          <w:sz w:val="24"/>
          <w:szCs w:val="24"/>
        </w:rPr>
        <w:tab/>
      </w:r>
    </w:p>
    <w:p w:rsidR="00D03DCE" w:rsidRPr="006B0CBE" w:rsidRDefault="00D03DCE" w:rsidP="000760D4">
      <w:pPr>
        <w:pStyle w:val="Ttulo2"/>
        <w:spacing w:line="259" w:lineRule="auto"/>
        <w:ind w:firstLine="1701"/>
        <w:jc w:val="both"/>
        <w:rPr>
          <w:rStyle w:val="Forte"/>
          <w:rFonts w:cstheme="majorHAnsi"/>
          <w:color w:val="auto"/>
          <w:sz w:val="24"/>
          <w:szCs w:val="24"/>
        </w:rPr>
      </w:pPr>
      <w:r w:rsidRPr="006B0CBE">
        <w:rPr>
          <w:rStyle w:val="Forte"/>
          <w:rFonts w:cstheme="majorHAnsi"/>
          <w:color w:val="auto"/>
          <w:sz w:val="24"/>
          <w:szCs w:val="24"/>
        </w:rPr>
        <w:t>Deverá conter obrigatoriamente, os seguintes documentos, os quais deverão ser apresentados em cópias devidamente autenticadas por Cartório Competente e ou apresentadas juntamente com os respectivos originais:</w:t>
      </w:r>
    </w:p>
    <w:p w:rsidR="000760D4" w:rsidRPr="006B0CBE" w:rsidRDefault="000760D4" w:rsidP="000760D4">
      <w:pPr>
        <w:pStyle w:val="PargrafodaLista"/>
        <w:numPr>
          <w:ilvl w:val="0"/>
          <w:numId w:val="1"/>
        </w:numPr>
        <w:rPr>
          <w:rFonts w:asciiTheme="majorHAnsi" w:hAnsiTheme="majorHAnsi" w:cstheme="majorHAnsi"/>
          <w:sz w:val="24"/>
          <w:szCs w:val="24"/>
        </w:rPr>
      </w:pPr>
      <w:r w:rsidRPr="006B0CBE">
        <w:rPr>
          <w:rStyle w:val="Forte"/>
          <w:rFonts w:asciiTheme="majorHAnsi" w:hAnsiTheme="majorHAnsi" w:cstheme="majorHAnsi"/>
          <w:b/>
          <w:sz w:val="24"/>
          <w:szCs w:val="24"/>
        </w:rPr>
        <w:t>JURÍDICA:</w:t>
      </w:r>
    </w:p>
    <w:p w:rsidR="00D03DCE" w:rsidRPr="006B0CBE" w:rsidRDefault="00D03DCE" w:rsidP="000760D4">
      <w:pPr>
        <w:pStyle w:val="Ttulo2"/>
        <w:numPr>
          <w:ilvl w:val="1"/>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CONTRATO SOCIAL, estatuto ou ato constitutivo, em vigor, devidamente registrado na Junta Comercial, no caso de sociedades comerciais ou empresas individuais, ou no Cartório de Registro Civil de Pessoas Jurídicas, em se tratando de sociedade civil; no caso de sociedade por ações, esta documentação deverá estar acompanhada de documentos de eleição de seus atuais administradores, bem como todas as suas alterações;</w:t>
      </w:r>
    </w:p>
    <w:p w:rsidR="00B27A6E" w:rsidRPr="006B0CBE" w:rsidRDefault="00B27A6E" w:rsidP="00B27A6E">
      <w:pPr>
        <w:pStyle w:val="PargrafodaLista"/>
        <w:numPr>
          <w:ilvl w:val="0"/>
          <w:numId w:val="1"/>
        </w:numPr>
        <w:rPr>
          <w:rFonts w:asciiTheme="majorHAnsi" w:hAnsiTheme="majorHAnsi" w:cstheme="majorHAnsi"/>
          <w:sz w:val="24"/>
          <w:szCs w:val="24"/>
        </w:rPr>
      </w:pPr>
      <w:r w:rsidRPr="006B0CBE">
        <w:rPr>
          <w:rFonts w:asciiTheme="majorHAnsi" w:hAnsiTheme="majorHAnsi" w:cstheme="majorHAnsi"/>
          <w:sz w:val="24"/>
          <w:szCs w:val="24"/>
        </w:rPr>
        <w:t>TÉCNICA.</w:t>
      </w:r>
    </w:p>
    <w:p w:rsidR="00056835" w:rsidRPr="006B0CBE" w:rsidRDefault="00056835" w:rsidP="00E56D84">
      <w:pPr>
        <w:pStyle w:val="Nvel2-Red"/>
        <w:numPr>
          <w:ilvl w:val="1"/>
          <w:numId w:val="1"/>
        </w:numPr>
        <w:spacing w:afterLines="120" w:after="288" w:line="312" w:lineRule="auto"/>
        <w:rPr>
          <w:rFonts w:asciiTheme="majorHAnsi" w:hAnsiTheme="majorHAnsi" w:cstheme="majorHAnsi"/>
          <w:color w:val="auto"/>
          <w:sz w:val="24"/>
          <w:szCs w:val="24"/>
        </w:rPr>
      </w:pPr>
      <w:r w:rsidRPr="006B0CBE">
        <w:rPr>
          <w:rFonts w:asciiTheme="majorHAnsi" w:hAnsiTheme="majorHAnsi" w:cstheme="majorHAnsi"/>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p>
    <w:p w:rsidR="00056835" w:rsidRPr="006B0CBE" w:rsidRDefault="00056835" w:rsidP="00E56D84">
      <w:pPr>
        <w:pStyle w:val="Nvel2-Red"/>
        <w:numPr>
          <w:ilvl w:val="1"/>
          <w:numId w:val="1"/>
        </w:numPr>
        <w:spacing w:afterLines="120" w:after="288" w:line="312" w:lineRule="auto"/>
        <w:rPr>
          <w:rFonts w:asciiTheme="majorHAnsi" w:hAnsiTheme="majorHAnsi" w:cstheme="majorHAnsi"/>
          <w:color w:val="auto"/>
          <w:sz w:val="24"/>
          <w:szCs w:val="24"/>
        </w:rPr>
      </w:pPr>
      <w:r w:rsidRPr="006B0CBE">
        <w:rPr>
          <w:rFonts w:asciiTheme="majorHAnsi" w:hAnsiTheme="majorHAnsi" w:cstheme="majorHAnsi"/>
          <w:color w:val="auto"/>
          <w:sz w:val="24"/>
          <w:szCs w:val="24"/>
        </w:rPr>
        <w:t xml:space="preserve">Para fins da comprovação de que trata este subitem, os atestados deverão dizer respeito a contratos executados com as seguintes características mínimas: </w:t>
      </w:r>
    </w:p>
    <w:p w:rsidR="00056835" w:rsidRPr="006B0CBE" w:rsidRDefault="00056835" w:rsidP="00056835">
      <w:pPr>
        <w:pStyle w:val="Nvel3-R"/>
        <w:numPr>
          <w:ilvl w:val="2"/>
          <w:numId w:val="1"/>
        </w:numPr>
        <w:spacing w:afterLines="120" w:after="288" w:line="312" w:lineRule="auto"/>
        <w:rPr>
          <w:rFonts w:asciiTheme="majorHAnsi" w:hAnsiTheme="majorHAnsi" w:cstheme="majorHAnsi"/>
          <w:color w:val="auto"/>
          <w:sz w:val="24"/>
          <w:szCs w:val="24"/>
        </w:rPr>
      </w:pPr>
      <w:r w:rsidRPr="006B0CBE">
        <w:rPr>
          <w:rFonts w:asciiTheme="majorHAnsi" w:hAnsiTheme="majorHAnsi" w:cstheme="majorHAnsi"/>
          <w:color w:val="auto"/>
          <w:sz w:val="24"/>
          <w:szCs w:val="24"/>
        </w:rPr>
        <w:t>Será admitida, para fins de comprovação de quantitativo mínimo, a apresentação e o somatório de diferentes atestados executados de forma concomitante.</w:t>
      </w:r>
    </w:p>
    <w:p w:rsidR="00056835" w:rsidRPr="006B0CBE" w:rsidRDefault="00056835" w:rsidP="00056835">
      <w:pPr>
        <w:pStyle w:val="Nvel3-R"/>
        <w:numPr>
          <w:ilvl w:val="2"/>
          <w:numId w:val="1"/>
        </w:numPr>
        <w:spacing w:afterLines="120" w:after="288" w:line="312" w:lineRule="auto"/>
        <w:rPr>
          <w:rFonts w:asciiTheme="majorHAnsi" w:hAnsiTheme="majorHAnsi" w:cstheme="majorHAnsi"/>
          <w:color w:val="auto"/>
          <w:sz w:val="24"/>
          <w:szCs w:val="24"/>
          <w:shd w:val="clear" w:color="auto" w:fill="FFFF00"/>
        </w:rPr>
      </w:pPr>
      <w:r w:rsidRPr="006B0CBE">
        <w:rPr>
          <w:rFonts w:asciiTheme="majorHAnsi" w:hAnsiTheme="majorHAnsi" w:cstheme="majorHAnsi"/>
          <w:color w:val="auto"/>
          <w:sz w:val="24"/>
          <w:szCs w:val="24"/>
        </w:rPr>
        <w:t>Os atestados de capacidade técnica poderão ser apresentados em nome da matriz ou da filial do fornecedor.</w:t>
      </w:r>
    </w:p>
    <w:p w:rsidR="00B27A6E" w:rsidRPr="006B0CBE" w:rsidRDefault="00056835" w:rsidP="00056835">
      <w:pPr>
        <w:pStyle w:val="Nvel3-R"/>
        <w:numPr>
          <w:ilvl w:val="2"/>
          <w:numId w:val="1"/>
        </w:numPr>
        <w:spacing w:afterLines="120" w:after="288" w:line="312" w:lineRule="auto"/>
        <w:rPr>
          <w:rFonts w:asciiTheme="majorHAnsi" w:hAnsiTheme="majorHAnsi" w:cstheme="majorHAnsi"/>
          <w:color w:val="auto"/>
          <w:sz w:val="24"/>
          <w:szCs w:val="24"/>
        </w:rPr>
      </w:pPr>
      <w:r w:rsidRPr="006B0CBE">
        <w:rPr>
          <w:rFonts w:asciiTheme="majorHAnsi" w:hAnsiTheme="majorHAnsi" w:cstheme="majorHAnsi"/>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7912A0" w:rsidRPr="006B0CBE" w:rsidRDefault="00E76969" w:rsidP="007912A0">
      <w:pPr>
        <w:pStyle w:val="PargrafodaLista"/>
        <w:numPr>
          <w:ilvl w:val="0"/>
          <w:numId w:val="1"/>
        </w:numPr>
        <w:rPr>
          <w:rFonts w:asciiTheme="majorHAnsi" w:hAnsiTheme="majorHAnsi" w:cstheme="majorHAnsi"/>
          <w:b/>
          <w:sz w:val="24"/>
          <w:szCs w:val="24"/>
        </w:rPr>
      </w:pPr>
      <w:r w:rsidRPr="006B0CBE">
        <w:rPr>
          <w:rFonts w:asciiTheme="majorHAnsi" w:hAnsiTheme="majorHAnsi" w:cstheme="majorHAnsi"/>
          <w:b/>
          <w:sz w:val="24"/>
          <w:szCs w:val="24"/>
        </w:rPr>
        <w:lastRenderedPageBreak/>
        <w:t>FISCAL,</w:t>
      </w:r>
      <w:r w:rsidR="007912A0" w:rsidRPr="006B0CBE">
        <w:rPr>
          <w:rFonts w:asciiTheme="majorHAnsi" w:hAnsiTheme="majorHAnsi" w:cstheme="majorHAnsi"/>
          <w:b/>
          <w:sz w:val="24"/>
          <w:szCs w:val="24"/>
        </w:rPr>
        <w:t xml:space="preserve"> TRABALHISTA E SOCIAL:</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Prova de Inscrição no Cadastro Nacional de Pessoas Jurídicas (CNPJ);</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CERTIDÃO CONJUNTA NEGATIVA - prova de regularidade com a Fazenda Nacional e Receita Federal, com prazo de validade em vigor;</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CERTIDÃO NEGATIVA DA FAZENDA ESTADUAL - prova de regularidade com a Fazenda Estadual, com prazo de validade em vigor;</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Para as licitantes sediadas no Estado de São Paulo, a regularidade de débito com a Fazenda Estadual será atestada pela apresentação das Certidões emitidas pela Secretaria da Fazenda (débitos não inscritos) e pela Procuradoria Geral do Estado (débitos inscritos em dívida ativa).</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CERTIDÃO NEGATIVA DA FAZENDA MUNICIPAL - prova de regularidade com a Fazenda Municipal, referente a débitos mobiliários e imobiliários, com prazo de validade em vigor;</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CERTIFICADO DE REGULARIDADE FGTS - prova de regularidade relativa ao Fundo de Garantia do Tempo de Serviço, com prazo de validade em vigor;</w:t>
      </w:r>
    </w:p>
    <w:p w:rsidR="00D03DCE" w:rsidRPr="006B0CBE" w:rsidRDefault="00D03DCE" w:rsidP="00D03DC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CERTIDÃO NEGATIVA DE DÉBITOS TRABALHISTAS - prova de regularidade;</w:t>
      </w:r>
    </w:p>
    <w:p w:rsidR="00CB0A0E" w:rsidRPr="006B0CBE" w:rsidRDefault="00CB0A0E" w:rsidP="00CB0A0E">
      <w:pPr>
        <w:pStyle w:val="Ttulo2"/>
        <w:numPr>
          <w:ilvl w:val="2"/>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COMPROVANTE DE ENQUADRAMENTO DE ME/EPP/EQUIPARADAS</w:t>
      </w:r>
    </w:p>
    <w:p w:rsidR="00CB0A0E" w:rsidRPr="006B0CBE" w:rsidRDefault="00CB0A0E" w:rsidP="00CB0A0E">
      <w:pPr>
        <w:rPr>
          <w:rFonts w:asciiTheme="majorHAnsi" w:hAnsiTheme="majorHAnsi" w:cstheme="majorHAnsi"/>
          <w:sz w:val="24"/>
          <w:szCs w:val="24"/>
        </w:rPr>
      </w:pPr>
    </w:p>
    <w:p w:rsidR="007912A0" w:rsidRPr="006B0CBE" w:rsidRDefault="007912A0" w:rsidP="007912A0">
      <w:pPr>
        <w:pStyle w:val="PargrafodaLista"/>
        <w:numPr>
          <w:ilvl w:val="0"/>
          <w:numId w:val="1"/>
        </w:numPr>
        <w:rPr>
          <w:rFonts w:asciiTheme="majorHAnsi" w:hAnsiTheme="majorHAnsi" w:cstheme="majorHAnsi"/>
          <w:b/>
          <w:sz w:val="24"/>
          <w:szCs w:val="24"/>
        </w:rPr>
      </w:pPr>
      <w:r w:rsidRPr="006B0CBE">
        <w:rPr>
          <w:rFonts w:asciiTheme="majorHAnsi" w:hAnsiTheme="majorHAnsi" w:cstheme="majorHAnsi"/>
          <w:b/>
          <w:sz w:val="24"/>
          <w:szCs w:val="24"/>
        </w:rPr>
        <w:t>ECONOMICO – FINANCEIRA:</w:t>
      </w:r>
    </w:p>
    <w:p w:rsidR="00D03DCE" w:rsidRPr="006B0CBE" w:rsidRDefault="00D03DCE" w:rsidP="00D41B4D">
      <w:pPr>
        <w:pStyle w:val="Ttulo2"/>
        <w:numPr>
          <w:ilvl w:val="1"/>
          <w:numId w:val="1"/>
        </w:numPr>
        <w:spacing w:line="259" w:lineRule="auto"/>
        <w:jc w:val="both"/>
        <w:rPr>
          <w:rStyle w:val="Forte"/>
          <w:rFonts w:cstheme="majorHAnsi"/>
          <w:color w:val="auto"/>
          <w:sz w:val="24"/>
          <w:szCs w:val="24"/>
        </w:rPr>
      </w:pPr>
      <w:r w:rsidRPr="006B0CBE">
        <w:rPr>
          <w:rStyle w:val="Forte"/>
          <w:rFonts w:cstheme="majorHAnsi"/>
          <w:color w:val="auto"/>
          <w:sz w:val="24"/>
          <w:szCs w:val="24"/>
        </w:rPr>
        <w:t>CERTIDÃO NEGATIVA DE FALÊNCIA, CONCORDATA expedida pelo distribuidor da sede da pessoa jurídica, no prazo máximo, 90 (noventa) dias antes da data fixada para o recebimento das propostas, se outro prazo não estiver assinalado em lei ou no próprio documento, ou “apresentação do Plano de Recuperação homologado pelo judiciário em pleno vigor, nos termos da Súmula TCESP nº 50</w:t>
      </w:r>
      <w:r w:rsidRPr="006B0CBE">
        <w:rPr>
          <w:rStyle w:val="Forte"/>
          <w:rFonts w:cstheme="majorHAnsi"/>
          <w:color w:val="auto"/>
          <w:sz w:val="24"/>
          <w:szCs w:val="24"/>
        </w:rPr>
        <w:footnoteReference w:id="1"/>
      </w:r>
      <w:r w:rsidRPr="006B0CBE">
        <w:rPr>
          <w:rStyle w:val="Forte"/>
          <w:rFonts w:cstheme="majorHAnsi"/>
          <w:color w:val="auto"/>
          <w:sz w:val="24"/>
          <w:szCs w:val="24"/>
        </w:rPr>
        <w:t>.</w:t>
      </w:r>
    </w:p>
    <w:p w:rsidR="00D41B4D" w:rsidRPr="006B0CBE" w:rsidRDefault="00D41B4D" w:rsidP="00D41B4D">
      <w:pPr>
        <w:pStyle w:val="Nivel2"/>
        <w:spacing w:afterLines="120" w:after="288" w:line="312" w:lineRule="auto"/>
        <w:ind w:firstLine="709"/>
        <w:rPr>
          <w:rFonts w:asciiTheme="majorHAnsi" w:hAnsiTheme="majorHAnsi" w:cstheme="majorHAnsi"/>
          <w:sz w:val="24"/>
          <w:szCs w:val="24"/>
        </w:rPr>
      </w:pPr>
      <w:r w:rsidRPr="006B0CBE">
        <w:rPr>
          <w:rFonts w:asciiTheme="majorHAnsi" w:hAnsiTheme="majorHAnsi" w:cstheme="majorHAnsi"/>
          <w:sz w:val="24"/>
          <w:szCs w:val="24"/>
        </w:rPr>
        <w:t>Balanço Patrimonial demonstrando:</w:t>
      </w:r>
    </w:p>
    <w:p w:rsidR="00D41B4D" w:rsidRPr="006B0CBE" w:rsidRDefault="00D41B4D" w:rsidP="00D41B4D">
      <w:pPr>
        <w:pStyle w:val="Nivel3"/>
        <w:rPr>
          <w:rFonts w:asciiTheme="majorHAnsi" w:hAnsiTheme="majorHAnsi" w:cstheme="majorHAnsi"/>
          <w:sz w:val="24"/>
          <w:szCs w:val="24"/>
        </w:rPr>
      </w:pPr>
      <w:r w:rsidRPr="006B0CBE">
        <w:rPr>
          <w:rFonts w:asciiTheme="majorHAnsi" w:hAnsiTheme="majorHAnsi" w:cstheme="majorHAnsi"/>
          <w:sz w:val="24"/>
          <w:szCs w:val="24"/>
        </w:rPr>
        <w:t xml:space="preserve"> Índices de Liquidez Geral (LG), Solvência Geral (SG) e Liquidez Corrente (LC), superiores a 1 (um), comprovados mediante a apresentação pelo licitante </w:t>
      </w:r>
      <w:r w:rsidRPr="006B0CBE">
        <w:rPr>
          <w:rFonts w:asciiTheme="majorHAnsi" w:hAnsiTheme="majorHAnsi" w:cstheme="majorHAnsi"/>
          <w:sz w:val="24"/>
          <w:szCs w:val="24"/>
        </w:rPr>
        <w:lastRenderedPageBreak/>
        <w:t>de balanço patrimonial, demonstração de resultado de exercício e demais demonstrações contábeis dos 2 (dois) últimos exercícios sociais e obtidos pela aplicação das seguintes fórmulas:</w:t>
      </w:r>
    </w:p>
    <w:p w:rsidR="00D41B4D" w:rsidRPr="006B0CBE" w:rsidRDefault="00D41B4D" w:rsidP="00D41B4D">
      <w:pPr>
        <w:pStyle w:val="Nivel2"/>
        <w:numPr>
          <w:ilvl w:val="0"/>
          <w:numId w:val="0"/>
        </w:numPr>
        <w:spacing w:afterLines="120" w:after="288" w:line="312" w:lineRule="auto"/>
        <w:ind w:left="900"/>
        <w:contextualSpacing/>
        <w:rPr>
          <w:rFonts w:asciiTheme="majorHAnsi" w:eastAsia="Arial" w:hAnsiTheme="majorHAnsi" w:cstheme="majorHAnsi"/>
          <w:sz w:val="24"/>
          <w:szCs w:val="24"/>
        </w:rPr>
      </w:pPr>
      <w:r w:rsidRPr="006B0CBE">
        <w:rPr>
          <w:rFonts w:asciiTheme="majorHAnsi" w:eastAsia="Arial" w:hAnsiTheme="majorHAnsi" w:cstheme="majorHAnsi"/>
          <w:sz w:val="24"/>
          <w:szCs w:val="24"/>
        </w:rPr>
        <w:t xml:space="preserve">I - Liquidez Geral (LG) = (Ativo Circulante + Realizável a Longo </w:t>
      </w:r>
      <w:proofErr w:type="gramStart"/>
      <w:r w:rsidRPr="006B0CBE">
        <w:rPr>
          <w:rFonts w:asciiTheme="majorHAnsi" w:eastAsia="Arial" w:hAnsiTheme="majorHAnsi" w:cstheme="majorHAnsi"/>
          <w:sz w:val="24"/>
          <w:szCs w:val="24"/>
        </w:rPr>
        <w:t>Prazo )</w:t>
      </w:r>
      <w:proofErr w:type="gramEnd"/>
      <w:r w:rsidRPr="006B0CBE">
        <w:rPr>
          <w:rFonts w:asciiTheme="majorHAnsi" w:eastAsia="Arial" w:hAnsiTheme="majorHAnsi" w:cstheme="majorHAnsi"/>
          <w:sz w:val="24"/>
          <w:szCs w:val="24"/>
        </w:rPr>
        <w:t>/( Passivo Circulante + Passivo Não Circulante);</w:t>
      </w:r>
    </w:p>
    <w:p w:rsidR="00D41B4D" w:rsidRPr="006B0CBE" w:rsidRDefault="00D41B4D" w:rsidP="00D41B4D">
      <w:pPr>
        <w:pStyle w:val="Nivel3"/>
        <w:numPr>
          <w:ilvl w:val="0"/>
          <w:numId w:val="0"/>
        </w:numPr>
        <w:spacing w:afterLines="120" w:after="288" w:line="312" w:lineRule="auto"/>
        <w:ind w:left="900"/>
        <w:rPr>
          <w:rFonts w:asciiTheme="majorHAnsi" w:eastAsia="Arial" w:hAnsiTheme="majorHAnsi" w:cstheme="majorHAnsi"/>
          <w:sz w:val="24"/>
          <w:szCs w:val="24"/>
        </w:rPr>
      </w:pPr>
      <w:r w:rsidRPr="006B0CBE">
        <w:rPr>
          <w:rFonts w:asciiTheme="majorHAnsi" w:eastAsia="Arial" w:hAnsiTheme="majorHAnsi" w:cstheme="majorHAnsi"/>
          <w:sz w:val="24"/>
          <w:szCs w:val="24"/>
        </w:rPr>
        <w:t xml:space="preserve">II - Solvência Geral (SG)= (Ativo </w:t>
      </w:r>
      <w:r w:rsidR="006B0CBE" w:rsidRPr="006B0CBE">
        <w:rPr>
          <w:rFonts w:asciiTheme="majorHAnsi" w:eastAsia="Arial" w:hAnsiTheme="majorHAnsi" w:cstheme="majorHAnsi"/>
          <w:sz w:val="24"/>
          <w:szCs w:val="24"/>
        </w:rPr>
        <w:t xml:space="preserve">Total) </w:t>
      </w:r>
      <w:proofErr w:type="gramStart"/>
      <w:r w:rsidR="006B0CBE" w:rsidRPr="006B0CBE">
        <w:rPr>
          <w:rFonts w:asciiTheme="majorHAnsi" w:eastAsia="Arial" w:hAnsiTheme="majorHAnsi" w:cstheme="majorHAnsi"/>
          <w:sz w:val="24"/>
          <w:szCs w:val="24"/>
        </w:rPr>
        <w:t>/</w:t>
      </w:r>
      <w:r w:rsidRPr="006B0CBE">
        <w:rPr>
          <w:rFonts w:asciiTheme="majorHAnsi" w:eastAsia="Arial" w:hAnsiTheme="majorHAnsi" w:cstheme="majorHAnsi"/>
          <w:sz w:val="24"/>
          <w:szCs w:val="24"/>
        </w:rPr>
        <w:t>(</w:t>
      </w:r>
      <w:proofErr w:type="gramEnd"/>
      <w:r w:rsidRPr="006B0CBE">
        <w:rPr>
          <w:rFonts w:asciiTheme="majorHAnsi" w:eastAsia="Arial" w:hAnsiTheme="majorHAnsi" w:cstheme="majorHAnsi"/>
          <w:sz w:val="24"/>
          <w:szCs w:val="24"/>
        </w:rPr>
        <w:t>Passivo Circulante +Passivo não Circulante); e</w:t>
      </w:r>
    </w:p>
    <w:p w:rsidR="00D41B4D" w:rsidRPr="006B0CBE" w:rsidRDefault="00D41B4D" w:rsidP="00D41B4D">
      <w:pPr>
        <w:pStyle w:val="Nivel3"/>
        <w:numPr>
          <w:ilvl w:val="0"/>
          <w:numId w:val="0"/>
        </w:numPr>
        <w:spacing w:afterLines="120" w:after="288" w:line="312" w:lineRule="auto"/>
        <w:ind w:left="900"/>
        <w:rPr>
          <w:rFonts w:asciiTheme="majorHAnsi" w:eastAsia="Arial" w:hAnsiTheme="majorHAnsi" w:cstheme="majorHAnsi"/>
          <w:sz w:val="24"/>
          <w:szCs w:val="24"/>
        </w:rPr>
      </w:pPr>
      <w:r w:rsidRPr="006B0CBE">
        <w:rPr>
          <w:rFonts w:asciiTheme="majorHAnsi" w:eastAsia="Arial" w:hAnsiTheme="majorHAnsi" w:cstheme="majorHAnsi"/>
          <w:sz w:val="24"/>
          <w:szCs w:val="24"/>
        </w:rPr>
        <w:t xml:space="preserve">III - Liquidez Corrente (LC) = (Ativo </w:t>
      </w:r>
      <w:r w:rsidR="006B0CBE" w:rsidRPr="006B0CBE">
        <w:rPr>
          <w:rFonts w:asciiTheme="majorHAnsi" w:eastAsia="Arial" w:hAnsiTheme="majorHAnsi" w:cstheme="majorHAnsi"/>
          <w:sz w:val="24"/>
          <w:szCs w:val="24"/>
        </w:rPr>
        <w:t xml:space="preserve">Circulante) </w:t>
      </w:r>
      <w:proofErr w:type="gramStart"/>
      <w:r w:rsidR="006B0CBE" w:rsidRPr="006B0CBE">
        <w:rPr>
          <w:rFonts w:asciiTheme="majorHAnsi" w:eastAsia="Arial" w:hAnsiTheme="majorHAnsi" w:cstheme="majorHAnsi"/>
          <w:sz w:val="24"/>
          <w:szCs w:val="24"/>
        </w:rPr>
        <w:t>/</w:t>
      </w:r>
      <w:r w:rsidRPr="006B0CBE">
        <w:rPr>
          <w:rFonts w:asciiTheme="majorHAnsi" w:eastAsia="Arial" w:hAnsiTheme="majorHAnsi" w:cstheme="majorHAnsi"/>
          <w:sz w:val="24"/>
          <w:szCs w:val="24"/>
        </w:rPr>
        <w:t>(</w:t>
      </w:r>
      <w:proofErr w:type="gramEnd"/>
      <w:r w:rsidRPr="006B0CBE">
        <w:rPr>
          <w:rFonts w:asciiTheme="majorHAnsi" w:eastAsia="Arial" w:hAnsiTheme="majorHAnsi" w:cstheme="majorHAnsi"/>
          <w:sz w:val="24"/>
          <w:szCs w:val="24"/>
        </w:rPr>
        <w:t>Passivo Circulante).</w:t>
      </w:r>
    </w:p>
    <w:p w:rsidR="00D41B4D" w:rsidRPr="006B0CBE" w:rsidRDefault="00D41B4D" w:rsidP="00D41B4D">
      <w:pPr>
        <w:pStyle w:val="Nivel3"/>
        <w:rPr>
          <w:rFonts w:asciiTheme="majorHAnsi" w:eastAsia="Arial" w:hAnsiTheme="majorHAnsi" w:cstheme="majorHAnsi"/>
          <w:sz w:val="24"/>
          <w:szCs w:val="24"/>
        </w:rPr>
      </w:pPr>
      <w:r w:rsidRPr="006B0CBE">
        <w:rPr>
          <w:rFonts w:asciiTheme="majorHAnsi" w:eastAsia="Arial" w:hAnsiTheme="majorHAnsi" w:cstheme="majorHAnsi"/>
          <w:sz w:val="24"/>
          <w:szCs w:val="24"/>
        </w:rPr>
        <w:t xml:space="preserve">Caso a empresa licitante apresente resultado inferior ou igual a 1 (um) em qualquer dos índices de Liquidez Geral (LG), Solvência Geral (SG) e Liquidez Corrente (LC), será exigido para fins de habilitação [capital mínimo] </w:t>
      </w:r>
      <w:r w:rsidRPr="006B0CBE">
        <w:rPr>
          <w:rFonts w:asciiTheme="majorHAnsi" w:eastAsia="Arial" w:hAnsiTheme="majorHAnsi" w:cstheme="majorHAnsi"/>
          <w:sz w:val="24"/>
          <w:szCs w:val="24"/>
          <w:u w:val="single"/>
        </w:rPr>
        <w:t>OU</w:t>
      </w:r>
      <w:r w:rsidRPr="006B0CBE">
        <w:rPr>
          <w:rFonts w:asciiTheme="majorHAnsi" w:eastAsia="Arial" w:hAnsiTheme="majorHAnsi" w:cstheme="majorHAnsi"/>
          <w:sz w:val="24"/>
          <w:szCs w:val="24"/>
        </w:rPr>
        <w:t xml:space="preserve"> [patrimônio líquido mínimo] de ......% [até 10%] do [valor total estimado da contratação] </w:t>
      </w:r>
      <w:r w:rsidRPr="006B0CBE">
        <w:rPr>
          <w:rFonts w:asciiTheme="majorHAnsi" w:eastAsia="Arial" w:hAnsiTheme="majorHAnsi" w:cstheme="majorHAnsi"/>
          <w:sz w:val="24"/>
          <w:szCs w:val="24"/>
          <w:u w:val="single"/>
        </w:rPr>
        <w:t>OU</w:t>
      </w:r>
      <w:r w:rsidRPr="006B0CBE">
        <w:rPr>
          <w:rFonts w:asciiTheme="majorHAnsi" w:eastAsia="Arial" w:hAnsiTheme="majorHAnsi" w:cstheme="majorHAnsi"/>
          <w:sz w:val="24"/>
          <w:szCs w:val="24"/>
        </w:rPr>
        <w:t xml:space="preserve"> [valor total estimado da parcela pertinente].</w:t>
      </w:r>
    </w:p>
    <w:p w:rsidR="00D41B4D" w:rsidRPr="006B0CBE" w:rsidRDefault="00D41B4D" w:rsidP="00D41B4D">
      <w:pPr>
        <w:pStyle w:val="Nivel3"/>
        <w:rPr>
          <w:rFonts w:asciiTheme="majorHAnsi" w:eastAsia="Arial" w:hAnsiTheme="majorHAnsi" w:cstheme="majorHAnsi"/>
          <w:sz w:val="24"/>
          <w:szCs w:val="24"/>
        </w:rPr>
      </w:pPr>
      <w:r w:rsidRPr="006B0CBE">
        <w:rPr>
          <w:rFonts w:asciiTheme="majorHAnsi" w:eastAsia="Arial" w:hAnsiTheme="majorHAnsi" w:cstheme="majorHAnsi"/>
          <w:sz w:val="24"/>
          <w:szCs w:val="24"/>
        </w:rPr>
        <w:t>As empresas criadas no exercício financeiro da licitação deverão atender a todas as exigências da habilitação e poderão substituir os demonstrativos contábeis pelo balanço de abertura (Lei nº 14.133, de 2021, art. 65, §1º).</w:t>
      </w:r>
    </w:p>
    <w:p w:rsidR="00D41B4D" w:rsidRPr="006B0CBE" w:rsidRDefault="00D41B4D" w:rsidP="00D41B4D">
      <w:pPr>
        <w:pStyle w:val="Nivel2"/>
        <w:spacing w:afterLines="120" w:after="288" w:line="312" w:lineRule="auto"/>
        <w:ind w:firstLine="709"/>
        <w:rPr>
          <w:rFonts w:asciiTheme="majorHAnsi" w:hAnsiTheme="majorHAnsi" w:cstheme="majorHAnsi"/>
          <w:sz w:val="24"/>
          <w:szCs w:val="24"/>
        </w:rPr>
      </w:pPr>
      <w:r w:rsidRPr="006B0CBE">
        <w:rPr>
          <w:rFonts w:asciiTheme="majorHAnsi" w:hAnsiTheme="majorHAnsi" w:cstheme="majorHAnsi"/>
          <w:sz w:val="24"/>
          <w:szCs w:val="24"/>
        </w:rPr>
        <w:t>O balanço patrimonial, demonstração de resultado de exercício e demais demonstrações contábeis limitar-se-ão ao último exercício no caso de a pessoa jurídica ter sido constituída há menos de 2 (dois) anos. (Lei nº 14.133, de 2021, art. 69, §6º)</w:t>
      </w:r>
    </w:p>
    <w:p w:rsidR="00D41B4D" w:rsidRDefault="00D41B4D" w:rsidP="00D41B4D">
      <w:pPr>
        <w:pStyle w:val="Nvel2-Red"/>
        <w:spacing w:afterLines="120" w:after="288" w:line="312" w:lineRule="auto"/>
        <w:ind w:left="0" w:firstLine="709"/>
        <w:rPr>
          <w:rFonts w:asciiTheme="majorHAnsi" w:hAnsiTheme="majorHAnsi" w:cstheme="majorHAnsi"/>
          <w:color w:val="auto"/>
          <w:sz w:val="24"/>
          <w:szCs w:val="24"/>
        </w:rPr>
      </w:pPr>
      <w:r w:rsidRPr="006B0CBE">
        <w:rPr>
          <w:rFonts w:asciiTheme="majorHAnsi" w:hAnsiTheme="majorHAnsi" w:cstheme="majorHAnsi"/>
          <w:color w:val="auto"/>
          <w:sz w:val="24"/>
          <w:szCs w:val="24"/>
        </w:rPr>
        <w:t>O atendimento dos índices econômicos previstos neste item deverá ser atestado mediante declaração assinada por profissional habilitado da área contábil, apresentada pelo fornecedor.</w:t>
      </w:r>
    </w:p>
    <w:p w:rsidR="006B0CBE" w:rsidRDefault="006B0CBE" w:rsidP="006B0CBE">
      <w:pPr>
        <w:pStyle w:val="Nvel2-Red"/>
        <w:numPr>
          <w:ilvl w:val="0"/>
          <w:numId w:val="0"/>
        </w:numPr>
        <w:spacing w:afterLines="120" w:after="288" w:line="312" w:lineRule="auto"/>
        <w:ind w:left="709"/>
        <w:rPr>
          <w:rFonts w:asciiTheme="majorHAnsi" w:hAnsiTheme="majorHAnsi" w:cstheme="majorHAnsi"/>
          <w:color w:val="auto"/>
          <w:sz w:val="24"/>
          <w:szCs w:val="24"/>
        </w:rPr>
      </w:pPr>
    </w:p>
    <w:p w:rsidR="00B2428B" w:rsidRDefault="00B2428B" w:rsidP="006B0CBE">
      <w:pPr>
        <w:pStyle w:val="Nvel2-Red"/>
        <w:numPr>
          <w:ilvl w:val="0"/>
          <w:numId w:val="0"/>
        </w:numPr>
        <w:spacing w:afterLines="120" w:after="288" w:line="312" w:lineRule="auto"/>
        <w:ind w:left="709"/>
        <w:rPr>
          <w:rFonts w:asciiTheme="majorHAnsi" w:hAnsiTheme="majorHAnsi" w:cstheme="majorHAnsi"/>
          <w:color w:val="auto"/>
          <w:sz w:val="24"/>
          <w:szCs w:val="24"/>
        </w:rPr>
      </w:pPr>
    </w:p>
    <w:p w:rsidR="00B2428B" w:rsidRPr="006B0CBE" w:rsidRDefault="00B2428B" w:rsidP="006B0CBE">
      <w:pPr>
        <w:pStyle w:val="Nvel2-Red"/>
        <w:numPr>
          <w:ilvl w:val="0"/>
          <w:numId w:val="0"/>
        </w:numPr>
        <w:spacing w:afterLines="120" w:after="288" w:line="312" w:lineRule="auto"/>
        <w:ind w:left="709"/>
        <w:rPr>
          <w:rFonts w:asciiTheme="majorHAnsi" w:hAnsiTheme="majorHAnsi" w:cstheme="majorHAnsi"/>
          <w:color w:val="auto"/>
          <w:sz w:val="24"/>
          <w:szCs w:val="24"/>
        </w:rPr>
      </w:pPr>
    </w:p>
    <w:p w:rsidR="00E76969" w:rsidRPr="006B0CBE" w:rsidRDefault="00E76969" w:rsidP="00E76969">
      <w:pPr>
        <w:pStyle w:val="PargrafodaLista"/>
        <w:numPr>
          <w:ilvl w:val="0"/>
          <w:numId w:val="1"/>
        </w:numPr>
        <w:jc w:val="both"/>
        <w:rPr>
          <w:rStyle w:val="Forte"/>
          <w:rFonts w:asciiTheme="majorHAnsi" w:hAnsiTheme="majorHAnsi" w:cstheme="majorHAnsi"/>
          <w:b/>
          <w:sz w:val="24"/>
          <w:szCs w:val="24"/>
        </w:rPr>
      </w:pPr>
      <w:r w:rsidRPr="006B0CBE">
        <w:rPr>
          <w:rStyle w:val="Forte"/>
          <w:rFonts w:asciiTheme="majorHAnsi" w:hAnsiTheme="majorHAnsi" w:cstheme="majorHAnsi"/>
          <w:b/>
          <w:sz w:val="24"/>
          <w:szCs w:val="24"/>
        </w:rPr>
        <w:t>DECLARAÇÕES:</w:t>
      </w:r>
    </w:p>
    <w:p w:rsidR="00E76969" w:rsidRDefault="00E76969" w:rsidP="00E76969">
      <w:pPr>
        <w:pStyle w:val="PargrafodaLista"/>
        <w:numPr>
          <w:ilvl w:val="1"/>
          <w:numId w:val="1"/>
        </w:numPr>
        <w:jc w:val="both"/>
        <w:rPr>
          <w:rStyle w:val="Forte"/>
          <w:rFonts w:asciiTheme="majorHAnsi" w:hAnsiTheme="majorHAnsi" w:cstheme="majorHAnsi"/>
          <w:sz w:val="24"/>
          <w:szCs w:val="24"/>
        </w:rPr>
      </w:pPr>
      <w:r w:rsidRPr="006B0CBE">
        <w:rPr>
          <w:rStyle w:val="Forte"/>
          <w:rFonts w:asciiTheme="majorHAnsi" w:hAnsiTheme="majorHAnsi" w:cstheme="majorHAnsi"/>
          <w:sz w:val="24"/>
          <w:szCs w:val="24"/>
        </w:rPr>
        <w:t>ANEXO III</w:t>
      </w:r>
    </w:p>
    <w:p w:rsidR="006B0CBE" w:rsidRDefault="006B0CBE" w:rsidP="00E76969">
      <w:pPr>
        <w:pStyle w:val="PargrafodaLista"/>
        <w:numPr>
          <w:ilvl w:val="1"/>
          <w:numId w:val="1"/>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III-A</w:t>
      </w:r>
    </w:p>
    <w:p w:rsidR="006B0CBE" w:rsidRPr="006B0CBE" w:rsidRDefault="006B0CBE" w:rsidP="00E76969">
      <w:pPr>
        <w:pStyle w:val="PargrafodaLista"/>
        <w:numPr>
          <w:ilvl w:val="1"/>
          <w:numId w:val="1"/>
        </w:numPr>
        <w:jc w:val="both"/>
        <w:rPr>
          <w:rStyle w:val="Forte"/>
          <w:rFonts w:asciiTheme="majorHAnsi" w:hAnsiTheme="majorHAnsi" w:cstheme="majorHAnsi"/>
          <w:sz w:val="24"/>
          <w:szCs w:val="24"/>
        </w:rPr>
      </w:pPr>
      <w:r>
        <w:rPr>
          <w:rStyle w:val="Forte"/>
          <w:rFonts w:asciiTheme="majorHAnsi" w:hAnsiTheme="majorHAnsi" w:cstheme="majorHAnsi"/>
          <w:sz w:val="24"/>
          <w:szCs w:val="24"/>
        </w:rPr>
        <w:t>ANEXO IV</w:t>
      </w:r>
    </w:p>
    <w:p w:rsidR="006306C0" w:rsidRPr="006B0CBE" w:rsidRDefault="006306C0" w:rsidP="006306C0">
      <w:pPr>
        <w:pStyle w:val="PargrafodaLista"/>
        <w:numPr>
          <w:ilvl w:val="0"/>
          <w:numId w:val="1"/>
        </w:numPr>
        <w:jc w:val="both"/>
        <w:rPr>
          <w:rStyle w:val="Forte"/>
          <w:rFonts w:asciiTheme="majorHAnsi" w:hAnsiTheme="majorHAnsi" w:cstheme="majorHAnsi"/>
          <w:b/>
          <w:sz w:val="24"/>
          <w:szCs w:val="24"/>
        </w:rPr>
      </w:pPr>
      <w:r w:rsidRPr="006B0CBE">
        <w:rPr>
          <w:rStyle w:val="Forte"/>
          <w:rFonts w:asciiTheme="majorHAnsi" w:hAnsiTheme="majorHAnsi" w:cstheme="majorHAnsi"/>
          <w:b/>
          <w:sz w:val="24"/>
          <w:szCs w:val="24"/>
        </w:rPr>
        <w:t>AS DECLARAÇÕES E OS DOCUMENTOS NÃO ELENCADOS NA PLATAFORMA BLL, DEVERÃO SER COLOCADOS NA PASTA OUTROS DOCUMENTOS.</w:t>
      </w:r>
    </w:p>
    <w:p w:rsidR="00E76969" w:rsidRPr="006B0CBE" w:rsidRDefault="00E76969" w:rsidP="00D9314B">
      <w:pPr>
        <w:pStyle w:val="PargrafodaLista"/>
        <w:ind w:left="1152"/>
        <w:jc w:val="both"/>
        <w:rPr>
          <w:rStyle w:val="Forte"/>
          <w:rFonts w:asciiTheme="majorHAnsi" w:hAnsiTheme="majorHAnsi" w:cstheme="majorHAnsi"/>
          <w:sz w:val="24"/>
          <w:szCs w:val="24"/>
        </w:rPr>
      </w:pPr>
    </w:p>
    <w:p w:rsidR="00F25D00" w:rsidRPr="006B0CBE" w:rsidRDefault="00B2428B" w:rsidP="0086706C">
      <w:pPr>
        <w:spacing w:after="240" w:line="360" w:lineRule="auto"/>
        <w:jc w:val="center"/>
        <w:rPr>
          <w:rFonts w:asciiTheme="majorHAnsi" w:hAnsiTheme="majorHAnsi" w:cstheme="majorHAnsi"/>
          <w:b/>
          <w:sz w:val="24"/>
          <w:szCs w:val="24"/>
        </w:rPr>
      </w:pPr>
      <w:bookmarkStart w:id="0" w:name="_GoBack"/>
      <w:bookmarkEnd w:id="0"/>
    </w:p>
    <w:sectPr w:rsidR="00F25D00" w:rsidRPr="006B0CBE" w:rsidSect="00F5547C">
      <w:headerReference w:type="default" r:id="rId8"/>
      <w:footerReference w:type="default" r:id="rId9"/>
      <w:pgSz w:w="11906" w:h="16838"/>
      <w:pgMar w:top="1418" w:right="1701" w:bottom="1418" w:left="1701"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E27" w:rsidRDefault="00FB1E27" w:rsidP="00B02D48">
      <w:pPr>
        <w:spacing w:after="0" w:line="240" w:lineRule="auto"/>
      </w:pPr>
      <w:r>
        <w:separator/>
      </w:r>
    </w:p>
  </w:endnote>
  <w:endnote w:type="continuationSeparator" w:id="0">
    <w:p w:rsidR="00FB1E27" w:rsidRDefault="00FB1E27" w:rsidP="00B0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474599"/>
      <w:docPartObj>
        <w:docPartGallery w:val="Page Numbers (Bottom of Page)"/>
        <w:docPartUnique/>
      </w:docPartObj>
    </w:sdtPr>
    <w:sdtContent>
      <w:sdt>
        <w:sdtPr>
          <w:id w:val="-1769616900"/>
          <w:docPartObj>
            <w:docPartGallery w:val="Page Numbers (Top of Page)"/>
            <w:docPartUnique/>
          </w:docPartObj>
        </w:sdtPr>
        <w:sdtContent>
          <w:p w:rsidR="00B2428B" w:rsidRDefault="00B2428B">
            <w:pPr>
              <w:pStyle w:val="Rodap"/>
              <w:jc w:val="right"/>
            </w:pPr>
            <w:r>
              <w:rPr>
                <w:noProof/>
                <w:lang w:eastAsia="pt-BR"/>
              </w:rPr>
              <w:drawing>
                <wp:anchor distT="0" distB="0" distL="114300" distR="114300" simplePos="0" relativeHeight="251659264" behindDoc="1" locked="0" layoutInCell="1" allowOverlap="1" wp14:anchorId="78C8D2C8" wp14:editId="4B4B4A47">
                  <wp:simplePos x="0" y="0"/>
                  <wp:positionH relativeFrom="column">
                    <wp:posOffset>412115</wp:posOffset>
                  </wp:positionH>
                  <wp:positionV relativeFrom="paragraph">
                    <wp:posOffset>-491490</wp:posOffset>
                  </wp:positionV>
                  <wp:extent cx="5044438" cy="929640"/>
                  <wp:effectExtent l="0" t="0" r="4445" b="381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5056633" cy="931887"/>
                          </a:xfrm>
                          <a:prstGeom prst="rect">
                            <a:avLst/>
                          </a:prstGeom>
                        </pic:spPr>
                      </pic:pic>
                    </a:graphicData>
                  </a:graphic>
                  <wp14:sizeRelH relativeFrom="margin">
                    <wp14:pctWidth>0</wp14:pctWidth>
                  </wp14:sizeRelH>
                </wp:anchor>
              </w:drawing>
            </w:r>
            <w: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B02D48" w:rsidRDefault="00B02D48" w:rsidP="001735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E27" w:rsidRDefault="00FB1E27" w:rsidP="00B02D48">
      <w:pPr>
        <w:spacing w:after="0" w:line="240" w:lineRule="auto"/>
      </w:pPr>
      <w:r>
        <w:separator/>
      </w:r>
    </w:p>
  </w:footnote>
  <w:footnote w:type="continuationSeparator" w:id="0">
    <w:p w:rsidR="00FB1E27" w:rsidRDefault="00FB1E27" w:rsidP="00B02D48">
      <w:pPr>
        <w:spacing w:after="0" w:line="240" w:lineRule="auto"/>
      </w:pPr>
      <w:r>
        <w:continuationSeparator/>
      </w:r>
    </w:p>
  </w:footnote>
  <w:footnote w:id="1">
    <w:p w:rsidR="00D03DCE" w:rsidRPr="0060277C" w:rsidRDefault="00D03DCE" w:rsidP="005413CA">
      <w:pPr>
        <w:autoSpaceDE w:val="0"/>
        <w:autoSpaceDN w:val="0"/>
        <w:adjustRightInd w:val="0"/>
        <w:jc w:val="both"/>
        <w:rPr>
          <w:rFonts w:asciiTheme="majorHAnsi" w:hAnsiTheme="majorHAnsi" w:cstheme="majorHAnsi"/>
          <w:b/>
          <w:color w:val="002060"/>
          <w:sz w:val="18"/>
          <w:szCs w:val="18"/>
        </w:rPr>
      </w:pPr>
      <w:r w:rsidRPr="0060277C">
        <w:rPr>
          <w:rStyle w:val="Refdenotaderodap"/>
          <w:rFonts w:asciiTheme="majorHAnsi" w:hAnsiTheme="majorHAnsi" w:cstheme="majorHAnsi"/>
          <w:sz w:val="18"/>
          <w:szCs w:val="18"/>
        </w:rPr>
        <w:footnoteRef/>
      </w:r>
      <w:r w:rsidRPr="0060277C">
        <w:rPr>
          <w:rFonts w:asciiTheme="majorHAnsi" w:hAnsiTheme="majorHAnsi" w:cstheme="majorHAnsi"/>
          <w:sz w:val="18"/>
          <w:szCs w:val="18"/>
        </w:rPr>
        <w:t xml:space="preserve"> </w:t>
      </w:r>
      <w:r w:rsidRPr="0060277C">
        <w:rPr>
          <w:rFonts w:asciiTheme="majorHAnsi" w:hAnsiTheme="majorHAnsi" w:cstheme="majorHAnsi"/>
          <w:b/>
          <w:bCs/>
          <w:color w:val="002060"/>
          <w:sz w:val="18"/>
          <w:szCs w:val="18"/>
        </w:rPr>
        <w:t>Súmula 50</w:t>
      </w:r>
      <w:r w:rsidRPr="00A66FE4">
        <w:rPr>
          <w:rFonts w:ascii="Arial" w:hAnsi="Arial" w:cs="Arial"/>
          <w:b/>
          <w:bCs/>
          <w:color w:val="002060"/>
          <w:sz w:val="16"/>
          <w:szCs w:val="16"/>
        </w:rPr>
        <w:t xml:space="preserve">: </w:t>
      </w:r>
      <w:r w:rsidRPr="0060277C">
        <w:rPr>
          <w:rFonts w:asciiTheme="majorHAnsi" w:hAnsiTheme="majorHAnsi" w:cstheme="majorHAnsi"/>
          <w:b/>
          <w:color w:val="002060"/>
          <w:sz w:val="18"/>
          <w:szCs w:val="18"/>
        </w:rPr>
        <w:t>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021" w:type="dxa"/>
      <w:tblInd w:w="6432" w:type="dxa"/>
      <w:tblCellMar>
        <w:left w:w="70" w:type="dxa"/>
        <w:right w:w="70" w:type="dxa"/>
      </w:tblCellMar>
      <w:tblLook w:val="04A0" w:firstRow="1" w:lastRow="0" w:firstColumn="1" w:lastColumn="0" w:noHBand="0" w:noVBand="1"/>
    </w:tblPr>
    <w:tblGrid>
      <w:gridCol w:w="1604"/>
      <w:gridCol w:w="1417"/>
    </w:tblGrid>
    <w:tr w:rsidR="0017350E" w:rsidRPr="0017350E" w:rsidTr="0017350E">
      <w:trPr>
        <w:trHeight w:val="312"/>
      </w:trPr>
      <w:tc>
        <w:tcPr>
          <w:tcW w:w="1604" w:type="dxa"/>
          <w:tcBorders>
            <w:top w:val="single" w:sz="4" w:space="0" w:color="auto"/>
            <w:left w:val="single" w:sz="4" w:space="0" w:color="auto"/>
            <w:bottom w:val="nil"/>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Processo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0F1364" w:rsidP="0017350E">
          <w:pPr>
            <w:spacing w:after="0" w:line="240" w:lineRule="auto"/>
            <w:jc w:val="center"/>
            <w:rPr>
              <w:rFonts w:ascii="Calibri Light" w:eastAsia="Times New Roman" w:hAnsi="Calibri Light" w:cs="Calibri Light"/>
              <w:color w:val="000000"/>
              <w:sz w:val="24"/>
              <w:szCs w:val="24"/>
              <w:lang w:eastAsia="pt-BR"/>
            </w:rPr>
          </w:pPr>
          <w:r>
            <w:rPr>
              <w:rFonts w:ascii="Calibri Light" w:eastAsia="Times New Roman" w:hAnsi="Calibri Light" w:cs="Calibri Light"/>
              <w:color w:val="000000"/>
              <w:sz w:val="24"/>
              <w:szCs w:val="24"/>
              <w:lang w:eastAsia="pt-BR"/>
            </w:rPr>
            <w:t>056</w:t>
          </w:r>
          <w:r w:rsidR="0017350E" w:rsidRPr="0017350E">
            <w:rPr>
              <w:rFonts w:ascii="Calibri Light" w:eastAsia="Times New Roman" w:hAnsi="Calibri Light" w:cs="Calibri Light"/>
              <w:color w:val="000000"/>
              <w:sz w:val="24"/>
              <w:szCs w:val="24"/>
              <w:lang w:eastAsia="pt-BR"/>
            </w:rPr>
            <w:t>/2023</w:t>
          </w:r>
        </w:p>
      </w:tc>
    </w:tr>
    <w:tr w:rsidR="0017350E" w:rsidRPr="0017350E" w:rsidTr="0017350E">
      <w:trPr>
        <w:trHeight w:val="312"/>
      </w:trPr>
      <w:tc>
        <w:tcPr>
          <w:tcW w:w="1604" w:type="dxa"/>
          <w:tcBorders>
            <w:top w:val="nil"/>
            <w:left w:val="single" w:sz="4" w:space="0" w:color="auto"/>
            <w:bottom w:val="single" w:sz="4" w:space="0" w:color="auto"/>
            <w:right w:val="nil"/>
          </w:tcBorders>
          <w:shd w:val="clear" w:color="auto" w:fill="auto"/>
          <w:noWrap/>
          <w:vAlign w:val="center"/>
          <w:hideMark/>
        </w:tcPr>
        <w:p w:rsidR="0017350E" w:rsidRPr="0017350E" w:rsidRDefault="0017350E" w:rsidP="0017350E">
          <w:pPr>
            <w:spacing w:after="0" w:line="240" w:lineRule="auto"/>
            <w:rPr>
              <w:rFonts w:ascii="Calibri Light" w:eastAsia="Times New Roman" w:hAnsi="Calibri Light" w:cs="Calibri Light"/>
              <w:b/>
              <w:bCs/>
              <w:color w:val="000000"/>
              <w:sz w:val="24"/>
              <w:szCs w:val="24"/>
              <w:lang w:eastAsia="pt-BR"/>
            </w:rPr>
          </w:pPr>
          <w:r w:rsidRPr="0017350E">
            <w:rPr>
              <w:rFonts w:ascii="Calibri Light" w:eastAsia="Times New Roman" w:hAnsi="Calibri Light" w:cs="Calibri Light"/>
              <w:b/>
              <w:bCs/>
              <w:color w:val="000000"/>
              <w:sz w:val="24"/>
              <w:szCs w:val="24"/>
              <w:lang w:eastAsia="pt-BR"/>
            </w:rPr>
            <w:t>Folha nº.</w:t>
          </w:r>
        </w:p>
      </w:tc>
      <w:tc>
        <w:tcPr>
          <w:tcW w:w="1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350E" w:rsidRPr="0017350E" w:rsidRDefault="0017350E" w:rsidP="0017350E">
          <w:pPr>
            <w:spacing w:after="0" w:line="240" w:lineRule="auto"/>
            <w:jc w:val="center"/>
            <w:rPr>
              <w:rFonts w:ascii="Calibri Light" w:eastAsia="Times New Roman" w:hAnsi="Calibri Light" w:cs="Calibri Light"/>
              <w:color w:val="000000"/>
              <w:sz w:val="24"/>
              <w:szCs w:val="24"/>
              <w:lang w:eastAsia="pt-BR"/>
            </w:rPr>
          </w:pPr>
          <w:r w:rsidRPr="0017350E">
            <w:rPr>
              <w:rFonts w:ascii="Calibri Light" w:eastAsia="Times New Roman" w:hAnsi="Calibri Light" w:cs="Calibri Light"/>
              <w:color w:val="000000"/>
              <w:sz w:val="24"/>
              <w:szCs w:val="24"/>
              <w:lang w:eastAsia="pt-BR"/>
            </w:rPr>
            <w:t> </w:t>
          </w:r>
        </w:p>
      </w:tc>
    </w:tr>
  </w:tbl>
  <w:p w:rsidR="00557634" w:rsidRDefault="00557634">
    <w:pPr>
      <w:pStyle w:val="Cabealho"/>
    </w:pPr>
    <w:r w:rsidRPr="00B02D48">
      <w:rPr>
        <w:noProof/>
        <w:lang w:eastAsia="pt-BR"/>
      </w:rPr>
      <w:drawing>
        <wp:anchor distT="0" distB="0" distL="114300" distR="114300" simplePos="0" relativeHeight="251658240" behindDoc="1" locked="0" layoutInCell="1" allowOverlap="1" wp14:anchorId="144996A8" wp14:editId="66256E17">
          <wp:simplePos x="0" y="0"/>
          <wp:positionH relativeFrom="margin">
            <wp:posOffset>340995</wp:posOffset>
          </wp:positionH>
          <wp:positionV relativeFrom="paragraph">
            <wp:posOffset>-713740</wp:posOffset>
          </wp:positionV>
          <wp:extent cx="5114468" cy="1203960"/>
          <wp:effectExtent l="0" t="0" r="0" b="0"/>
          <wp:wrapNone/>
          <wp:docPr id="2" name="Imagem 2" descr="C:\Users\edson.vie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son.vieira\Desktop\1.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14468"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7634" w:rsidRDefault="00557634">
    <w:pPr>
      <w:pStyle w:val="Cabealho"/>
    </w:pPr>
  </w:p>
  <w:p w:rsidR="00557634" w:rsidRDefault="00557634">
    <w:pPr>
      <w:pStyle w:val="Cabealho"/>
    </w:pPr>
  </w:p>
  <w:p w:rsidR="00557634" w:rsidRDefault="00557634">
    <w:pPr>
      <w:pStyle w:val="Cabealho"/>
    </w:pPr>
  </w:p>
  <w:p w:rsidR="00557634" w:rsidRDefault="00557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E3A6E"/>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1">
    <w:nsid w:val="1D5C100D"/>
    <w:multiLevelType w:val="multilevel"/>
    <w:tmpl w:val="5A82BCE0"/>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667330"/>
    <w:multiLevelType w:val="multilevel"/>
    <w:tmpl w:val="2F703C0A"/>
    <w:lvl w:ilvl="0">
      <w:start w:val="1"/>
      <w:numFmt w:val="decimal"/>
      <w:lvlText w:val="%1."/>
      <w:lvlJc w:val="left"/>
      <w:pPr>
        <w:ind w:left="104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732" w:hanging="720"/>
      </w:pPr>
      <w:rPr>
        <w:rFonts w:hint="default"/>
      </w:rPr>
    </w:lvl>
    <w:lvl w:ilvl="4">
      <w:start w:val="1"/>
      <w:numFmt w:val="decimal"/>
      <w:isLgl/>
      <w:lvlText w:val="%1.%2.%3.%4.%5."/>
      <w:lvlJc w:val="left"/>
      <w:pPr>
        <w:ind w:left="2202"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78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362" w:hanging="1800"/>
      </w:pPr>
      <w:rPr>
        <w:rFonts w:hint="default"/>
      </w:rPr>
    </w:lvl>
  </w:abstractNum>
  <w:abstractNum w:abstractNumId="3">
    <w:nsid w:val="4735075B"/>
    <w:multiLevelType w:val="hybridMultilevel"/>
    <w:tmpl w:val="B0703AE8"/>
    <w:lvl w:ilvl="0" w:tplc="F10E65A4">
      <w:start w:val="1"/>
      <w:numFmt w:val="decimal"/>
      <w:lvlText w:val="%1."/>
      <w:lvlJc w:val="left"/>
      <w:pPr>
        <w:ind w:left="1512" w:hanging="360"/>
      </w:pPr>
      <w:rPr>
        <w:rFonts w:hint="default"/>
      </w:r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4">
    <w:nsid w:val="4B7171C4"/>
    <w:multiLevelType w:val="multilevel"/>
    <w:tmpl w:val="6BD07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843B3C"/>
    <w:multiLevelType w:val="hybridMultilevel"/>
    <w:tmpl w:val="77E896F2"/>
    <w:lvl w:ilvl="0" w:tplc="0416001B">
      <w:start w:val="1"/>
      <w:numFmt w:val="lowerRoman"/>
      <w:lvlText w:val="%1."/>
      <w:lvlJc w:val="right"/>
      <w:pPr>
        <w:ind w:left="1732" w:hanging="360"/>
      </w:p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6">
    <w:nsid w:val="71AE7C2C"/>
    <w:multiLevelType w:val="hybridMultilevel"/>
    <w:tmpl w:val="5DD2C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 w:numId="8">
    <w:abstractNumId w:val="1"/>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48"/>
    <w:rsid w:val="00056835"/>
    <w:rsid w:val="000760D4"/>
    <w:rsid w:val="0008735E"/>
    <w:rsid w:val="000A5BDB"/>
    <w:rsid w:val="000F1364"/>
    <w:rsid w:val="0017350E"/>
    <w:rsid w:val="001D4085"/>
    <w:rsid w:val="00226991"/>
    <w:rsid w:val="00357646"/>
    <w:rsid w:val="0043289D"/>
    <w:rsid w:val="004C6127"/>
    <w:rsid w:val="005413CA"/>
    <w:rsid w:val="00557634"/>
    <w:rsid w:val="0060277C"/>
    <w:rsid w:val="006306C0"/>
    <w:rsid w:val="006B0CBE"/>
    <w:rsid w:val="007912A0"/>
    <w:rsid w:val="00866AD8"/>
    <w:rsid w:val="0086706C"/>
    <w:rsid w:val="00991254"/>
    <w:rsid w:val="00A852E6"/>
    <w:rsid w:val="00B02D48"/>
    <w:rsid w:val="00B2428B"/>
    <w:rsid w:val="00B27A6E"/>
    <w:rsid w:val="00C25951"/>
    <w:rsid w:val="00CB0A0E"/>
    <w:rsid w:val="00CB0D8D"/>
    <w:rsid w:val="00CC31C0"/>
    <w:rsid w:val="00CD0C31"/>
    <w:rsid w:val="00D03DCE"/>
    <w:rsid w:val="00D41B4D"/>
    <w:rsid w:val="00D9314B"/>
    <w:rsid w:val="00DF092C"/>
    <w:rsid w:val="00DF0ECC"/>
    <w:rsid w:val="00E03007"/>
    <w:rsid w:val="00E76969"/>
    <w:rsid w:val="00ED1C80"/>
    <w:rsid w:val="00F5547C"/>
    <w:rsid w:val="00FB1E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80A7C52D-2659-4DD6-972A-BEFD589B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06C"/>
    <w:pPr>
      <w:spacing w:after="200" w:line="276" w:lineRule="auto"/>
    </w:pPr>
  </w:style>
  <w:style w:type="paragraph" w:styleId="Ttulo1">
    <w:name w:val="heading 1"/>
    <w:basedOn w:val="Normal"/>
    <w:next w:val="Normal"/>
    <w:link w:val="Ttulo1Char"/>
    <w:uiPriority w:val="9"/>
    <w:qFormat/>
    <w:rsid w:val="0086706C"/>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pt-BR"/>
    </w:rPr>
  </w:style>
  <w:style w:type="paragraph" w:styleId="Ttulo2">
    <w:name w:val="heading 2"/>
    <w:basedOn w:val="Normal"/>
    <w:next w:val="Normal"/>
    <w:link w:val="Ttulo2Char"/>
    <w:uiPriority w:val="9"/>
    <w:unhideWhenUsed/>
    <w:qFormat/>
    <w:rsid w:val="00D03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2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2D48"/>
  </w:style>
  <w:style w:type="paragraph" w:styleId="Rodap">
    <w:name w:val="footer"/>
    <w:basedOn w:val="Normal"/>
    <w:link w:val="RodapChar"/>
    <w:uiPriority w:val="99"/>
    <w:unhideWhenUsed/>
    <w:rsid w:val="00B02D48"/>
    <w:pPr>
      <w:tabs>
        <w:tab w:val="center" w:pos="4252"/>
        <w:tab w:val="right" w:pos="8504"/>
      </w:tabs>
      <w:spacing w:after="0" w:line="240" w:lineRule="auto"/>
    </w:pPr>
  </w:style>
  <w:style w:type="character" w:customStyle="1" w:styleId="RodapChar">
    <w:name w:val="Rodapé Char"/>
    <w:basedOn w:val="Fontepargpadro"/>
    <w:link w:val="Rodap"/>
    <w:uiPriority w:val="99"/>
    <w:rsid w:val="00B02D48"/>
  </w:style>
  <w:style w:type="character" w:customStyle="1" w:styleId="Ttulo1Char">
    <w:name w:val="Título 1 Char"/>
    <w:basedOn w:val="Fontepargpadro"/>
    <w:link w:val="Ttulo1"/>
    <w:uiPriority w:val="9"/>
    <w:rsid w:val="0086706C"/>
    <w:rPr>
      <w:rFonts w:asciiTheme="majorHAnsi" w:eastAsiaTheme="majorEastAsia" w:hAnsiTheme="majorHAnsi" w:cstheme="majorBidi"/>
      <w:b/>
      <w:bCs/>
      <w:color w:val="2E74B5" w:themeColor="accent1" w:themeShade="BF"/>
      <w:sz w:val="28"/>
      <w:szCs w:val="28"/>
      <w:lang w:eastAsia="pt-BR"/>
    </w:rPr>
  </w:style>
  <w:style w:type="paragraph" w:styleId="Recuodecorpodetexto">
    <w:name w:val="Body Text Indent"/>
    <w:basedOn w:val="Normal"/>
    <w:link w:val="RecuodecorpodetextoChar"/>
    <w:uiPriority w:val="99"/>
    <w:unhideWhenUsed/>
    <w:rsid w:val="0086706C"/>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86706C"/>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D03DCE"/>
    <w:rPr>
      <w:rFonts w:asciiTheme="majorHAnsi" w:eastAsiaTheme="majorEastAsia" w:hAnsiTheme="majorHAnsi" w:cstheme="majorBidi"/>
      <w:color w:val="2E74B5" w:themeColor="accent1" w:themeShade="BF"/>
      <w:sz w:val="26"/>
      <w:szCs w:val="26"/>
    </w:rPr>
  </w:style>
  <w:style w:type="character" w:styleId="Forte">
    <w:name w:val="Strong"/>
    <w:qFormat/>
    <w:rsid w:val="00D03DCE"/>
  </w:style>
  <w:style w:type="paragraph" w:styleId="PargrafodaLista">
    <w:name w:val="List Paragraph"/>
    <w:basedOn w:val="Normal"/>
    <w:link w:val="PargrafodaListaChar"/>
    <w:uiPriority w:val="34"/>
    <w:qFormat/>
    <w:rsid w:val="00D03DCE"/>
    <w:pPr>
      <w:spacing w:after="160" w:line="259" w:lineRule="auto"/>
      <w:ind w:left="720"/>
      <w:contextualSpacing/>
    </w:pPr>
  </w:style>
  <w:style w:type="character" w:styleId="Refdenotaderodap">
    <w:name w:val="footnote reference"/>
    <w:rsid w:val="00D03DCE"/>
    <w:rPr>
      <w:vertAlign w:val="superscript"/>
    </w:rPr>
  </w:style>
  <w:style w:type="paragraph" w:styleId="Textodenotaderodap">
    <w:name w:val="footnote text"/>
    <w:basedOn w:val="Normal"/>
    <w:link w:val="TextodenotaderodapChar"/>
    <w:unhideWhenUsed/>
    <w:rsid w:val="00D03DCE"/>
    <w:pPr>
      <w:spacing w:after="0" w:line="240" w:lineRule="auto"/>
    </w:pPr>
    <w:rPr>
      <w:sz w:val="20"/>
      <w:szCs w:val="20"/>
    </w:rPr>
  </w:style>
  <w:style w:type="character" w:customStyle="1" w:styleId="TextodenotaderodapChar">
    <w:name w:val="Texto de nota de rodapé Char"/>
    <w:basedOn w:val="Fontepargpadro"/>
    <w:link w:val="Textodenotaderodap"/>
    <w:rsid w:val="00D03DCE"/>
    <w:rPr>
      <w:sz w:val="20"/>
      <w:szCs w:val="20"/>
    </w:rPr>
  </w:style>
  <w:style w:type="character" w:customStyle="1" w:styleId="PargrafodaListaChar">
    <w:name w:val="Parágrafo da Lista Char"/>
    <w:basedOn w:val="Fontepargpadro"/>
    <w:link w:val="PargrafodaLista"/>
    <w:uiPriority w:val="34"/>
    <w:rsid w:val="00D03DCE"/>
  </w:style>
  <w:style w:type="paragraph" w:styleId="Corpodetexto">
    <w:name w:val="Body Text"/>
    <w:basedOn w:val="Normal"/>
    <w:link w:val="CorpodetextoChar"/>
    <w:uiPriority w:val="99"/>
    <w:semiHidden/>
    <w:unhideWhenUsed/>
    <w:rsid w:val="00CD0C31"/>
    <w:pPr>
      <w:spacing w:after="120"/>
    </w:pPr>
  </w:style>
  <w:style w:type="character" w:customStyle="1" w:styleId="CorpodetextoChar">
    <w:name w:val="Corpo de texto Char"/>
    <w:basedOn w:val="Fontepargpadro"/>
    <w:link w:val="Corpodetexto"/>
    <w:uiPriority w:val="99"/>
    <w:semiHidden/>
    <w:rsid w:val="00CD0C31"/>
  </w:style>
  <w:style w:type="paragraph" w:customStyle="1" w:styleId="Default">
    <w:name w:val="Default"/>
    <w:rsid w:val="007912A0"/>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3576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7646"/>
    <w:rPr>
      <w:rFonts w:ascii="Segoe UI" w:hAnsi="Segoe UI" w:cs="Segoe UI"/>
      <w:sz w:val="18"/>
      <w:szCs w:val="18"/>
    </w:rPr>
  </w:style>
  <w:style w:type="paragraph" w:customStyle="1" w:styleId="Nivel01">
    <w:name w:val="Nivel 01"/>
    <w:basedOn w:val="Ttulo1"/>
    <w:next w:val="Normal"/>
    <w:qFormat/>
    <w:rsid w:val="00056835"/>
    <w:pPr>
      <w:numPr>
        <w:numId w:val="7"/>
      </w:numPr>
      <w:tabs>
        <w:tab w:val="left" w:pos="567"/>
      </w:tabs>
      <w:spacing w:before="240"/>
      <w:jc w:val="both"/>
    </w:pPr>
    <w:rPr>
      <w:rFonts w:ascii="Arial" w:hAnsi="Arial" w:cs="Arial"/>
      <w:color w:val="auto"/>
      <w:sz w:val="20"/>
      <w:szCs w:val="20"/>
    </w:rPr>
  </w:style>
  <w:style w:type="paragraph" w:customStyle="1" w:styleId="Nivel2">
    <w:name w:val="Nivel 2"/>
    <w:basedOn w:val="Normal"/>
    <w:link w:val="Nivel2Char"/>
    <w:qFormat/>
    <w:rsid w:val="00056835"/>
    <w:pPr>
      <w:numPr>
        <w:ilvl w:val="1"/>
        <w:numId w:val="7"/>
      </w:numPr>
      <w:spacing w:before="120" w:after="120"/>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056835"/>
    <w:pPr>
      <w:numPr>
        <w:ilvl w:val="2"/>
        <w:numId w:val="7"/>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056835"/>
    <w:pPr>
      <w:numPr>
        <w:ilvl w:val="3"/>
      </w:numPr>
      <w:ind w:left="851" w:firstLine="0"/>
    </w:pPr>
    <w:rPr>
      <w:color w:val="auto"/>
    </w:rPr>
  </w:style>
  <w:style w:type="paragraph" w:customStyle="1" w:styleId="Nivel5">
    <w:name w:val="Nivel 5"/>
    <w:basedOn w:val="Nivel4"/>
    <w:qFormat/>
    <w:rsid w:val="00056835"/>
    <w:pPr>
      <w:numPr>
        <w:ilvl w:val="4"/>
      </w:numPr>
      <w:ind w:left="1276" w:firstLine="0"/>
    </w:pPr>
  </w:style>
  <w:style w:type="paragraph" w:customStyle="1" w:styleId="Nvel2-Red">
    <w:name w:val="Nível 2 -Red"/>
    <w:basedOn w:val="Nivel2"/>
    <w:link w:val="Nvel2-RedChar"/>
    <w:qFormat/>
    <w:rsid w:val="00056835"/>
    <w:pPr>
      <w:ind w:left="999" w:hanging="432"/>
    </w:pPr>
    <w:rPr>
      <w:i/>
      <w:iCs/>
      <w:color w:val="FF0000"/>
    </w:rPr>
  </w:style>
  <w:style w:type="paragraph" w:customStyle="1" w:styleId="Nvel3-R">
    <w:name w:val="Nível 3-R"/>
    <w:basedOn w:val="Nivel3"/>
    <w:link w:val="Nvel3-RChar"/>
    <w:qFormat/>
    <w:rsid w:val="00056835"/>
    <w:rPr>
      <w:i/>
      <w:iCs/>
      <w:color w:val="FF0000"/>
    </w:rPr>
  </w:style>
  <w:style w:type="character" w:customStyle="1" w:styleId="Nvel2-RedChar">
    <w:name w:val="Nível 2 -Red Char"/>
    <w:basedOn w:val="Fontepargpadro"/>
    <w:link w:val="Nvel2-Red"/>
    <w:rsid w:val="00056835"/>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056835"/>
    <w:rPr>
      <w:rFonts w:ascii="Arial" w:eastAsiaTheme="minorEastAsia" w:hAnsi="Arial" w:cs="Arial"/>
      <w:i/>
      <w:iCs/>
      <w:color w:val="FF0000"/>
      <w:sz w:val="20"/>
      <w:szCs w:val="20"/>
      <w:lang w:eastAsia="pt-BR"/>
    </w:rPr>
  </w:style>
  <w:style w:type="character" w:customStyle="1" w:styleId="Nivel2Char">
    <w:name w:val="Nivel 2 Char"/>
    <w:basedOn w:val="Fontepargpadro"/>
    <w:link w:val="Nivel2"/>
    <w:locked/>
    <w:rsid w:val="00D41B4D"/>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D41B4D"/>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486690">
      <w:bodyDiv w:val="1"/>
      <w:marLeft w:val="0"/>
      <w:marRight w:val="0"/>
      <w:marTop w:val="0"/>
      <w:marBottom w:val="0"/>
      <w:divBdr>
        <w:top w:val="none" w:sz="0" w:space="0" w:color="auto"/>
        <w:left w:val="none" w:sz="0" w:space="0" w:color="auto"/>
        <w:bottom w:val="none" w:sz="0" w:space="0" w:color="auto"/>
        <w:right w:val="none" w:sz="0" w:space="0" w:color="auto"/>
      </w:divBdr>
    </w:div>
    <w:div w:id="18479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CFBE3-2BCF-4DE8-9A0B-CA79FE0A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777</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Gabriel Granado Vieira</dc:creator>
  <cp:keywords/>
  <dc:description/>
  <cp:lastModifiedBy>Marcos dos Reis Santos</cp:lastModifiedBy>
  <cp:revision>8</cp:revision>
  <cp:lastPrinted>2023-04-04T14:04:00Z</cp:lastPrinted>
  <dcterms:created xsi:type="dcterms:W3CDTF">2023-08-10T15:54:00Z</dcterms:created>
  <dcterms:modified xsi:type="dcterms:W3CDTF">2023-10-31T15:16:00Z</dcterms:modified>
</cp:coreProperties>
</file>