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89D" w:rsidRPr="0043289D" w:rsidRDefault="00866AD8" w:rsidP="0043289D">
      <w:pPr>
        <w:pStyle w:val="Ttulo2"/>
        <w:spacing w:line="259" w:lineRule="auto"/>
        <w:ind w:left="1152"/>
        <w:jc w:val="center"/>
        <w:rPr>
          <w:rFonts w:cstheme="majorHAnsi"/>
          <w:b/>
          <w:color w:val="auto"/>
          <w:sz w:val="24"/>
          <w:szCs w:val="24"/>
        </w:rPr>
      </w:pPr>
      <w:r>
        <w:rPr>
          <w:rStyle w:val="Forte"/>
          <w:rFonts w:cstheme="majorHAnsi"/>
          <w:b/>
          <w:color w:val="auto"/>
          <w:sz w:val="24"/>
          <w:szCs w:val="24"/>
        </w:rPr>
        <w:t xml:space="preserve">ANEXO I - </w:t>
      </w:r>
      <w:r w:rsidR="00D03DCE">
        <w:rPr>
          <w:rStyle w:val="Forte"/>
          <w:rFonts w:cstheme="majorHAnsi"/>
          <w:b/>
          <w:color w:val="auto"/>
          <w:sz w:val="24"/>
          <w:szCs w:val="24"/>
        </w:rPr>
        <w:t>APÊNDICE 1.</w:t>
      </w:r>
    </w:p>
    <w:p w:rsidR="00D03DCE" w:rsidRDefault="00D03DCE" w:rsidP="00D03DCE">
      <w:pPr>
        <w:pStyle w:val="Ttulo2"/>
        <w:numPr>
          <w:ilvl w:val="1"/>
          <w:numId w:val="1"/>
        </w:numPr>
        <w:spacing w:line="259" w:lineRule="auto"/>
        <w:rPr>
          <w:rStyle w:val="Forte"/>
          <w:rFonts w:cstheme="majorHAnsi"/>
          <w:b/>
          <w:color w:val="auto"/>
          <w:sz w:val="24"/>
          <w:szCs w:val="24"/>
        </w:rPr>
      </w:pPr>
      <w:r w:rsidRPr="004F65B8">
        <w:rPr>
          <w:rStyle w:val="Forte"/>
          <w:rFonts w:cstheme="majorHAnsi"/>
          <w:b/>
          <w:color w:val="auto"/>
          <w:sz w:val="24"/>
          <w:szCs w:val="24"/>
        </w:rPr>
        <w:t>HABILITAÇÃO.</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Deverá conter obrigatoriamente, os seguintes documentos, os quais deverão ser apresentados em cópias devidamente autenticadas por Cartório Competente e ou apresentadas juntamente com os respectivos originais:</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CONTRATO SOCIAL, estatuto ou ato constitutivo, em vigor, devidamente registrado na Junta Comercial, no caso de sociedades comerciais ou empresas individuais, ou no Cartório de Registro Civil de Pessoas Jurídicas, em se tratando de sociedade civil; no caso de sociedade por ações, esta documentação deverá estar acompanhada de documentos de eleição de seus atuais administradores, bem como todas as suas alterações;</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Prova de Inscrição no Cadastro Nacional de Pessoas Jurídicas (CNPJ);</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CERTIDÃO CONJUNTA NEGATIVA - prova de regularidade com a Fazenda Nacional e Receita Federal, com prazo de validade em vigor;</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CERTIDÃO NEGATIVA DA FAZENDA ESTADUAL - prova de regularidade com a Fazenda Estadual, com prazo de validade em vigor;</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Para as licitantes sediadas no Estado de São Paulo, a regularidade de débito com a Fazenda Estadual será atestada pela apresentação das Certidões emitidas pela Secretaria da Fazenda (débitos não inscritos) e pela Procuradoria Geral do Estado (débitos inscritos em dívida ativa).</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CERTIDÃO NEGATIVA DA FAZENDA MUNICIPAL - prova de regularidade com a Fazenda Municipal, referente a débitos mobiliários e imobiliários, com prazo de validade em vigor;</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CERTIFICADO DE REGULARIDADE FGTS - prova de regularidade relativa ao Fundo de Garantia do Tempo de Serviço, com prazo de validade em vigor;</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CERTIDÃO NEGATIVA DE DÉBITOS TRABALHISTAS - prova de regularidade;</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CERTIDÃO NEGATIVA DE FALÊNCIA, CONCORDATA expedida pelo distribuidor da sede da pessoa jurídica, no prazo máximo, 90 (noventa) dias antes da data fixada para o recebimento das propostas, se outro prazo não estiver assinalado em lei ou no próprio documento, ou “apresentação do Plano de Recuperação homologado pelo judiciário em pleno vigor, nos termos da Súmula TCESP nº 50</w:t>
      </w:r>
      <w:r w:rsidRPr="004F65B8">
        <w:rPr>
          <w:rStyle w:val="Forte"/>
          <w:rFonts w:cstheme="majorHAnsi"/>
          <w:color w:val="auto"/>
          <w:sz w:val="24"/>
          <w:szCs w:val="24"/>
        </w:rPr>
        <w:footnoteReference w:id="1"/>
      </w:r>
      <w:r w:rsidRPr="004F65B8">
        <w:rPr>
          <w:rStyle w:val="Forte"/>
          <w:rFonts w:cstheme="majorHAnsi"/>
          <w:color w:val="auto"/>
          <w:sz w:val="24"/>
          <w:szCs w:val="24"/>
        </w:rPr>
        <w:t>.</w:t>
      </w:r>
    </w:p>
    <w:p w:rsidR="00D03DCE" w:rsidRPr="004F65B8" w:rsidRDefault="00D03DCE" w:rsidP="00D03DCE">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CERTIFICADOS DO CREA/CAU – prova de inscrição e regularidade ao órgão competente, relativa à empresa e o engenheiro responsável pela obra, com prazo de validade em vigor;</w:t>
      </w:r>
    </w:p>
    <w:p w:rsidR="00D03DCE" w:rsidRPr="004F65B8" w:rsidRDefault="00D03DCE" w:rsidP="00D03DCE">
      <w:pPr>
        <w:pStyle w:val="PargrafodaLista"/>
        <w:numPr>
          <w:ilvl w:val="3"/>
          <w:numId w:val="1"/>
        </w:numPr>
        <w:rPr>
          <w:rFonts w:asciiTheme="majorHAnsi" w:hAnsiTheme="majorHAnsi" w:cstheme="majorHAnsi"/>
          <w:sz w:val="24"/>
          <w:szCs w:val="24"/>
        </w:rPr>
      </w:pPr>
      <w:r w:rsidRPr="004F65B8">
        <w:rPr>
          <w:rFonts w:asciiTheme="majorHAnsi" w:hAnsiTheme="majorHAnsi" w:cstheme="majorHAnsi"/>
          <w:sz w:val="24"/>
          <w:szCs w:val="24"/>
        </w:rPr>
        <w:t xml:space="preserve">VINCULO DO ENGENHEIRO COM A LICITANTE; </w:t>
      </w:r>
    </w:p>
    <w:p w:rsidR="00D03DCE" w:rsidRPr="004F65B8" w:rsidRDefault="00D03DCE" w:rsidP="00D03DCE">
      <w:pPr>
        <w:pStyle w:val="PargrafodaLista"/>
        <w:numPr>
          <w:ilvl w:val="0"/>
          <w:numId w:val="2"/>
        </w:numPr>
        <w:rPr>
          <w:rFonts w:asciiTheme="majorHAnsi" w:hAnsiTheme="majorHAnsi" w:cstheme="majorHAnsi"/>
          <w:sz w:val="24"/>
          <w:szCs w:val="24"/>
        </w:rPr>
      </w:pPr>
      <w:r w:rsidRPr="004F65B8">
        <w:rPr>
          <w:rFonts w:asciiTheme="majorHAnsi" w:hAnsiTheme="majorHAnsi" w:cstheme="majorHAnsi"/>
          <w:sz w:val="24"/>
          <w:szCs w:val="24"/>
        </w:rPr>
        <w:lastRenderedPageBreak/>
        <w:t>Contrato de prestação de serviços</w:t>
      </w:r>
      <w:r>
        <w:rPr>
          <w:rFonts w:asciiTheme="majorHAnsi" w:hAnsiTheme="majorHAnsi" w:cstheme="majorHAnsi"/>
          <w:sz w:val="24"/>
          <w:szCs w:val="24"/>
        </w:rPr>
        <w:t xml:space="preserve"> firmado entra a licitante e o profissional; e/ou;</w:t>
      </w:r>
    </w:p>
    <w:p w:rsidR="00D03DCE" w:rsidRPr="004F65B8" w:rsidRDefault="00D03DCE" w:rsidP="00D03DCE">
      <w:pPr>
        <w:pStyle w:val="PargrafodaLista"/>
        <w:numPr>
          <w:ilvl w:val="0"/>
          <w:numId w:val="2"/>
        </w:numPr>
        <w:rPr>
          <w:rFonts w:asciiTheme="majorHAnsi" w:hAnsiTheme="majorHAnsi" w:cstheme="majorHAnsi"/>
          <w:sz w:val="24"/>
          <w:szCs w:val="24"/>
        </w:rPr>
      </w:pPr>
      <w:r w:rsidRPr="004F65B8">
        <w:rPr>
          <w:rFonts w:asciiTheme="majorHAnsi" w:hAnsiTheme="majorHAnsi" w:cstheme="majorHAnsi"/>
          <w:sz w:val="24"/>
          <w:szCs w:val="24"/>
        </w:rPr>
        <w:t>Carteira profissional assinada pela licitante</w:t>
      </w:r>
    </w:p>
    <w:p w:rsidR="00D03DCE" w:rsidRDefault="00D03DCE" w:rsidP="00D03DCE">
      <w:pPr>
        <w:pStyle w:val="PargrafodaLista"/>
        <w:numPr>
          <w:ilvl w:val="2"/>
          <w:numId w:val="1"/>
        </w:numPr>
        <w:jc w:val="both"/>
        <w:rPr>
          <w:rStyle w:val="Forte"/>
          <w:rFonts w:asciiTheme="majorHAnsi" w:hAnsiTheme="majorHAnsi" w:cstheme="majorHAnsi"/>
          <w:sz w:val="24"/>
          <w:szCs w:val="24"/>
        </w:rPr>
      </w:pPr>
      <w:r w:rsidRPr="004F65B8">
        <w:rPr>
          <w:rFonts w:asciiTheme="majorHAnsi" w:hAnsiTheme="majorHAnsi" w:cstheme="majorHAnsi"/>
          <w:sz w:val="24"/>
          <w:szCs w:val="24"/>
        </w:rPr>
        <w:t>A</w:t>
      </w:r>
      <w:r w:rsidRPr="004F65B8">
        <w:rPr>
          <w:rStyle w:val="Forte"/>
          <w:rFonts w:asciiTheme="majorHAnsi" w:hAnsiTheme="majorHAnsi" w:cstheme="majorHAnsi"/>
          <w:sz w:val="24"/>
          <w:szCs w:val="24"/>
        </w:rPr>
        <w:t>CERVO TÉCNICO, com registro no órgão competente – apresentação de pelo menos um Atestado de Capacidade Técnica emitida por Órgão da Administração Pública ou Privada, comprovando que a proponente e ou o Engenheiro Responsável ( profissional Técnico) já efetuou serviços aos órgãos públicos ou privados, de forma satisfatória, cumprindo fielmente o objeto a que foi contratada, demonstrando o percentual mínimo compreendido entre 50% e 60%</w:t>
      </w:r>
      <w:r w:rsidRPr="004F65B8">
        <w:rPr>
          <w:rStyle w:val="Forte"/>
          <w:rFonts w:asciiTheme="majorHAnsi" w:hAnsiTheme="majorHAnsi" w:cstheme="majorHAnsi"/>
          <w:sz w:val="24"/>
          <w:szCs w:val="24"/>
        </w:rPr>
        <w:footnoteReference w:id="2"/>
      </w:r>
      <w:r w:rsidRPr="004F65B8">
        <w:rPr>
          <w:rStyle w:val="Forte"/>
          <w:rFonts w:asciiTheme="majorHAnsi" w:hAnsiTheme="majorHAnsi" w:cstheme="majorHAnsi"/>
          <w:sz w:val="24"/>
          <w:szCs w:val="24"/>
        </w:rPr>
        <w:t>, considerando o Item 5.7 da Planilha Orçamentaria: EXECUÇÃO DE PAVIMENTO COM APLICAÇÃO DE CONCRETO ASFÁLTICO, CAMADA DE ROLAMENTO - EXCLUSIVE CARGA E TRANSPORTE.</w:t>
      </w:r>
    </w:p>
    <w:p w:rsidR="00CD0C31" w:rsidRPr="004F65B8" w:rsidRDefault="00CD0C31" w:rsidP="00CD0C31">
      <w:pPr>
        <w:pStyle w:val="Ttulo2"/>
        <w:numPr>
          <w:ilvl w:val="2"/>
          <w:numId w:val="1"/>
        </w:numPr>
        <w:spacing w:line="259" w:lineRule="auto"/>
        <w:jc w:val="both"/>
        <w:rPr>
          <w:rStyle w:val="Forte"/>
          <w:rFonts w:cstheme="majorHAnsi"/>
          <w:color w:val="auto"/>
          <w:sz w:val="24"/>
          <w:szCs w:val="24"/>
        </w:rPr>
      </w:pPr>
      <w:r w:rsidRPr="004F65B8">
        <w:rPr>
          <w:rStyle w:val="Forte"/>
          <w:rFonts w:cstheme="majorHAnsi"/>
          <w:color w:val="auto"/>
          <w:sz w:val="24"/>
          <w:szCs w:val="24"/>
        </w:rPr>
        <w:t>COMPROVAÇÃO DE BOA SITUAÇÃO FINANCEIRA – declaração da licitante realizada através do Índice de Liquidez Geral (LG), Solvência Geral (SG) e Liquidez Corrente (LC), obtidos da aplicação das fórmulas abaixo descritas, devendo resultar no mínimo mais que 1 (um), sob pena de inabilitação;</w:t>
      </w:r>
    </w:p>
    <w:p w:rsidR="00CD0C31" w:rsidRPr="004F65B8" w:rsidRDefault="00CD0C31" w:rsidP="00CD0C31">
      <w:pPr>
        <w:pStyle w:val="Corpodetexto"/>
        <w:ind w:left="1128"/>
        <w:rPr>
          <w:rFonts w:asciiTheme="majorHAnsi" w:hAnsiTheme="majorHAnsi" w:cstheme="majorHAnsi"/>
          <w:szCs w:val="24"/>
        </w:rPr>
      </w:pPr>
    </w:p>
    <w:p w:rsidR="00CD0C31" w:rsidRPr="004F65B8" w:rsidRDefault="00CD0C31" w:rsidP="00CD0C31">
      <w:pPr>
        <w:shd w:val="clear" w:color="auto" w:fill="FFFFFF"/>
        <w:spacing w:after="0" w:line="237" w:lineRule="atLeast"/>
        <w:jc w:val="center"/>
        <w:rPr>
          <w:rFonts w:asciiTheme="majorHAnsi" w:eastAsia="Times New Roman" w:hAnsiTheme="majorHAnsi" w:cstheme="majorHAnsi"/>
          <w:color w:val="333333"/>
          <w:sz w:val="24"/>
          <w:szCs w:val="24"/>
          <w:lang w:eastAsia="pt-BR"/>
        </w:rPr>
      </w:pPr>
      <w:r w:rsidRPr="004F65B8">
        <w:rPr>
          <w:rFonts w:asciiTheme="majorHAnsi" w:eastAsia="Times New Roman" w:hAnsiTheme="majorHAnsi" w:cstheme="majorHAnsi"/>
          <w:b/>
          <w:bCs/>
          <w:color w:val="333333"/>
          <w:sz w:val="24"/>
          <w:szCs w:val="24"/>
          <w:u w:val="single"/>
          <w:lang w:eastAsia="pt-BR"/>
        </w:rPr>
        <w:t>Liquidez Geral</w:t>
      </w:r>
    </w:p>
    <w:p w:rsidR="00CD0C31" w:rsidRPr="004F65B8" w:rsidRDefault="00CD0C31" w:rsidP="00CD0C31">
      <w:pPr>
        <w:shd w:val="clear" w:color="auto" w:fill="FFFFFF"/>
        <w:spacing w:after="0" w:line="237" w:lineRule="atLeast"/>
        <w:jc w:val="center"/>
        <w:rPr>
          <w:rFonts w:asciiTheme="majorHAnsi" w:eastAsia="Times New Roman" w:hAnsiTheme="majorHAnsi" w:cstheme="majorHAnsi"/>
          <w:color w:val="333333"/>
          <w:sz w:val="24"/>
          <w:szCs w:val="24"/>
          <w:lang w:eastAsia="pt-BR"/>
        </w:rPr>
      </w:pPr>
      <w:r w:rsidRPr="004F65B8">
        <w:rPr>
          <w:rFonts w:asciiTheme="majorHAnsi" w:eastAsia="Times New Roman" w:hAnsiTheme="majorHAnsi" w:cstheme="majorHAnsi"/>
          <w:b/>
          <w:bCs/>
          <w:color w:val="333333"/>
          <w:sz w:val="24"/>
          <w:szCs w:val="24"/>
          <w:u w:val="single"/>
          <w:lang w:eastAsia="pt-BR"/>
        </w:rPr>
        <w:t> </w:t>
      </w:r>
    </w:p>
    <w:p w:rsidR="00CD0C31" w:rsidRPr="004F65B8" w:rsidRDefault="00CD0C31" w:rsidP="00CD0C31">
      <w:pPr>
        <w:shd w:val="clear" w:color="auto" w:fill="FFFFFF"/>
        <w:spacing w:after="0" w:line="237" w:lineRule="atLeast"/>
        <w:jc w:val="center"/>
        <w:rPr>
          <w:rFonts w:asciiTheme="majorHAnsi" w:eastAsia="Times New Roman" w:hAnsiTheme="majorHAnsi" w:cstheme="majorHAnsi"/>
          <w:b/>
          <w:color w:val="333333"/>
          <w:sz w:val="24"/>
          <w:szCs w:val="24"/>
          <w:lang w:eastAsia="pt-BR"/>
        </w:rPr>
      </w:pPr>
      <w:r w:rsidRPr="004F65B8">
        <w:rPr>
          <w:rFonts w:asciiTheme="majorHAnsi" w:eastAsia="Times New Roman" w:hAnsiTheme="majorHAnsi" w:cstheme="majorHAnsi"/>
          <w:color w:val="333333"/>
          <w:sz w:val="24"/>
          <w:szCs w:val="24"/>
          <w:u w:val="single"/>
          <w:lang w:eastAsia="pt-BR"/>
        </w:rPr>
        <w:t>__</w:t>
      </w:r>
      <w:r w:rsidRPr="004F65B8">
        <w:rPr>
          <w:rFonts w:asciiTheme="majorHAnsi" w:eastAsia="Times New Roman" w:hAnsiTheme="majorHAnsi" w:cstheme="majorHAnsi"/>
          <w:b/>
          <w:color w:val="333333"/>
          <w:sz w:val="24"/>
          <w:szCs w:val="24"/>
          <w:u w:val="single"/>
          <w:lang w:eastAsia="pt-BR"/>
        </w:rPr>
        <w:t>ATIVO CIRCULANTE + ATIVO NÃO CIRCULANTE___</w:t>
      </w:r>
    </w:p>
    <w:p w:rsidR="00CD0C31" w:rsidRPr="004F65B8" w:rsidRDefault="00CD0C31" w:rsidP="00CD0C31">
      <w:pPr>
        <w:shd w:val="clear" w:color="auto" w:fill="FFFFFF"/>
        <w:spacing w:after="0" w:line="237" w:lineRule="atLeast"/>
        <w:jc w:val="center"/>
        <w:rPr>
          <w:rFonts w:asciiTheme="majorHAnsi" w:eastAsia="Times New Roman" w:hAnsiTheme="majorHAnsi" w:cstheme="majorHAnsi"/>
          <w:b/>
          <w:color w:val="333333"/>
          <w:sz w:val="24"/>
          <w:szCs w:val="24"/>
          <w:lang w:eastAsia="pt-BR"/>
        </w:rPr>
      </w:pPr>
      <w:r w:rsidRPr="004F65B8">
        <w:rPr>
          <w:rFonts w:asciiTheme="majorHAnsi" w:eastAsia="Times New Roman" w:hAnsiTheme="majorHAnsi" w:cstheme="majorHAnsi"/>
          <w:b/>
          <w:color w:val="333333"/>
          <w:sz w:val="24"/>
          <w:szCs w:val="24"/>
          <w:lang w:eastAsia="pt-BR"/>
        </w:rPr>
        <w:t>PASSIVO CIRCULANTE + PASSIVO NÃO CIRCULANTE</w:t>
      </w:r>
    </w:p>
    <w:p w:rsidR="00CD0C31" w:rsidRPr="004F65B8" w:rsidRDefault="00CD0C31" w:rsidP="00CD0C31">
      <w:pPr>
        <w:shd w:val="clear" w:color="auto" w:fill="FFFFFF"/>
        <w:spacing w:after="0" w:line="237" w:lineRule="atLeast"/>
        <w:jc w:val="center"/>
        <w:rPr>
          <w:rFonts w:asciiTheme="majorHAnsi" w:eastAsia="Times New Roman" w:hAnsiTheme="majorHAnsi" w:cstheme="majorHAnsi"/>
          <w:color w:val="333333"/>
          <w:sz w:val="24"/>
          <w:szCs w:val="24"/>
          <w:lang w:eastAsia="pt-BR"/>
        </w:rPr>
      </w:pPr>
    </w:p>
    <w:p w:rsidR="00CD0C31" w:rsidRPr="004F65B8" w:rsidRDefault="00CD0C31" w:rsidP="00CD0C31">
      <w:pPr>
        <w:shd w:val="clear" w:color="auto" w:fill="FFFFFF"/>
        <w:spacing w:after="0" w:line="237" w:lineRule="atLeast"/>
        <w:jc w:val="both"/>
        <w:rPr>
          <w:rFonts w:asciiTheme="majorHAnsi" w:eastAsia="Times New Roman" w:hAnsiTheme="majorHAnsi" w:cstheme="majorHAnsi"/>
          <w:color w:val="333333"/>
          <w:sz w:val="24"/>
          <w:szCs w:val="24"/>
          <w:lang w:eastAsia="pt-BR"/>
        </w:rPr>
      </w:pPr>
      <w:r w:rsidRPr="004F65B8">
        <w:rPr>
          <w:rFonts w:asciiTheme="majorHAnsi" w:eastAsia="Times New Roman" w:hAnsiTheme="majorHAnsi" w:cstheme="majorHAnsi"/>
          <w:color w:val="333333"/>
          <w:sz w:val="24"/>
          <w:szCs w:val="24"/>
          <w:lang w:eastAsia="pt-BR"/>
        </w:rPr>
        <w:t>Índice de </w:t>
      </w:r>
      <w:r w:rsidRPr="004F65B8">
        <w:rPr>
          <w:rFonts w:asciiTheme="majorHAnsi" w:eastAsia="Times New Roman" w:hAnsiTheme="majorHAnsi" w:cstheme="majorHAnsi"/>
          <w:b/>
          <w:bCs/>
          <w:color w:val="333333"/>
          <w:sz w:val="24"/>
          <w:szCs w:val="24"/>
          <w:u w:val="single"/>
          <w:lang w:eastAsia="pt-BR"/>
        </w:rPr>
        <w:t>Liquidez Geral (ILG)</w:t>
      </w:r>
      <w:r w:rsidRPr="004F65B8">
        <w:rPr>
          <w:rFonts w:asciiTheme="majorHAnsi" w:eastAsia="Times New Roman" w:hAnsiTheme="majorHAnsi" w:cstheme="majorHAnsi"/>
          <w:color w:val="333333"/>
          <w:sz w:val="24"/>
          <w:szCs w:val="24"/>
          <w:lang w:eastAsia="pt-BR"/>
        </w:rPr>
        <w:t> indica quanto a empresa possui em disponibilidades, bens e direitos realizáveis no curso do exercício seguinte para liquidar suas obrigações, com vencimento neste mesmo período.</w:t>
      </w:r>
    </w:p>
    <w:p w:rsidR="00CD0C31" w:rsidRPr="004F65B8" w:rsidRDefault="00CD0C31" w:rsidP="00CD0C31">
      <w:pPr>
        <w:shd w:val="clear" w:color="auto" w:fill="FFFFFF"/>
        <w:spacing w:after="0" w:line="237" w:lineRule="atLeast"/>
        <w:jc w:val="center"/>
        <w:rPr>
          <w:rFonts w:asciiTheme="majorHAnsi" w:eastAsia="Times New Roman" w:hAnsiTheme="majorHAnsi" w:cstheme="majorHAnsi"/>
          <w:b/>
          <w:bCs/>
          <w:color w:val="333333"/>
          <w:sz w:val="24"/>
          <w:szCs w:val="24"/>
          <w:u w:val="single"/>
          <w:lang w:eastAsia="pt-BR"/>
        </w:rPr>
      </w:pPr>
      <w:r w:rsidRPr="004F65B8">
        <w:rPr>
          <w:rFonts w:asciiTheme="majorHAnsi" w:eastAsia="Times New Roman" w:hAnsiTheme="majorHAnsi" w:cstheme="majorHAnsi"/>
          <w:b/>
          <w:bCs/>
          <w:color w:val="333333"/>
          <w:sz w:val="24"/>
          <w:szCs w:val="24"/>
          <w:u w:val="single"/>
          <w:lang w:eastAsia="pt-BR"/>
        </w:rPr>
        <w:t>Liquidez Corrente</w:t>
      </w:r>
    </w:p>
    <w:p w:rsidR="00CD0C31" w:rsidRPr="004F65B8" w:rsidRDefault="00CD0C31" w:rsidP="00CD0C31">
      <w:pPr>
        <w:shd w:val="clear" w:color="auto" w:fill="FFFFFF"/>
        <w:spacing w:after="0" w:line="237" w:lineRule="atLeast"/>
        <w:jc w:val="center"/>
        <w:rPr>
          <w:rFonts w:asciiTheme="majorHAnsi" w:eastAsia="Times New Roman" w:hAnsiTheme="majorHAnsi" w:cstheme="majorHAnsi"/>
          <w:b/>
          <w:bCs/>
          <w:color w:val="333333"/>
          <w:sz w:val="24"/>
          <w:szCs w:val="24"/>
          <w:u w:val="single"/>
          <w:lang w:eastAsia="pt-BR"/>
        </w:rPr>
      </w:pPr>
    </w:p>
    <w:p w:rsidR="00CD0C31" w:rsidRPr="004F65B8" w:rsidRDefault="00CD0C31" w:rsidP="00CD0C31">
      <w:pPr>
        <w:shd w:val="clear" w:color="auto" w:fill="FFFFFF"/>
        <w:spacing w:after="0" w:line="237" w:lineRule="atLeast"/>
        <w:jc w:val="center"/>
        <w:rPr>
          <w:rFonts w:asciiTheme="majorHAnsi" w:eastAsia="Times New Roman" w:hAnsiTheme="majorHAnsi" w:cstheme="majorHAnsi"/>
          <w:b/>
          <w:color w:val="333333"/>
          <w:sz w:val="24"/>
          <w:szCs w:val="24"/>
          <w:lang w:eastAsia="pt-BR"/>
        </w:rPr>
      </w:pPr>
      <w:r w:rsidRPr="004F65B8">
        <w:rPr>
          <w:rFonts w:asciiTheme="majorHAnsi" w:eastAsia="Times New Roman" w:hAnsiTheme="majorHAnsi" w:cstheme="majorHAnsi"/>
          <w:color w:val="333333"/>
          <w:sz w:val="24"/>
          <w:szCs w:val="24"/>
          <w:u w:val="single"/>
          <w:lang w:eastAsia="pt-BR"/>
        </w:rPr>
        <w:t>____</w:t>
      </w:r>
      <w:r w:rsidRPr="004F65B8">
        <w:rPr>
          <w:rFonts w:asciiTheme="majorHAnsi" w:eastAsia="Times New Roman" w:hAnsiTheme="majorHAnsi" w:cstheme="majorHAnsi"/>
          <w:b/>
          <w:color w:val="333333"/>
          <w:sz w:val="24"/>
          <w:szCs w:val="24"/>
          <w:u w:val="single"/>
          <w:lang w:eastAsia="pt-BR"/>
        </w:rPr>
        <w:t>Ativo Circulante___</w:t>
      </w:r>
    </w:p>
    <w:p w:rsidR="00CD0C31" w:rsidRPr="004F65B8" w:rsidRDefault="00CD0C31" w:rsidP="00CD0C31">
      <w:pPr>
        <w:shd w:val="clear" w:color="auto" w:fill="FFFFFF"/>
        <w:spacing w:after="0" w:line="237" w:lineRule="atLeast"/>
        <w:jc w:val="center"/>
        <w:rPr>
          <w:rFonts w:asciiTheme="majorHAnsi" w:eastAsia="Times New Roman" w:hAnsiTheme="majorHAnsi" w:cstheme="majorHAnsi"/>
          <w:b/>
          <w:color w:val="333333"/>
          <w:sz w:val="24"/>
          <w:szCs w:val="24"/>
          <w:lang w:eastAsia="pt-BR"/>
        </w:rPr>
      </w:pPr>
      <w:r w:rsidRPr="004F65B8">
        <w:rPr>
          <w:rFonts w:asciiTheme="majorHAnsi" w:eastAsia="Times New Roman" w:hAnsiTheme="majorHAnsi" w:cstheme="majorHAnsi"/>
          <w:b/>
          <w:color w:val="333333"/>
          <w:sz w:val="24"/>
          <w:szCs w:val="24"/>
          <w:lang w:eastAsia="pt-BR"/>
        </w:rPr>
        <w:t>Passivo Circulante</w:t>
      </w:r>
    </w:p>
    <w:p w:rsidR="00CD0C31" w:rsidRPr="004F65B8" w:rsidRDefault="00CD0C31" w:rsidP="00CD0C31">
      <w:pPr>
        <w:shd w:val="clear" w:color="auto" w:fill="FFFFFF"/>
        <w:spacing w:after="0" w:line="237" w:lineRule="atLeast"/>
        <w:jc w:val="center"/>
        <w:rPr>
          <w:rFonts w:asciiTheme="majorHAnsi" w:eastAsia="Times New Roman" w:hAnsiTheme="majorHAnsi" w:cstheme="majorHAnsi"/>
          <w:b/>
          <w:color w:val="333333"/>
          <w:sz w:val="24"/>
          <w:szCs w:val="24"/>
          <w:lang w:eastAsia="pt-BR"/>
        </w:rPr>
      </w:pPr>
    </w:p>
    <w:p w:rsidR="00CD0C31" w:rsidRPr="004F65B8" w:rsidRDefault="00CD0C31" w:rsidP="00CD0C31">
      <w:pPr>
        <w:shd w:val="clear" w:color="auto" w:fill="FFFFFF"/>
        <w:spacing w:after="150" w:line="237" w:lineRule="atLeast"/>
        <w:jc w:val="both"/>
        <w:rPr>
          <w:rFonts w:asciiTheme="majorHAnsi" w:eastAsia="Times New Roman" w:hAnsiTheme="majorHAnsi" w:cstheme="majorHAnsi"/>
          <w:color w:val="333333"/>
          <w:sz w:val="24"/>
          <w:szCs w:val="24"/>
          <w:lang w:eastAsia="pt-BR"/>
        </w:rPr>
      </w:pPr>
      <w:r w:rsidRPr="004F65B8">
        <w:rPr>
          <w:rFonts w:asciiTheme="majorHAnsi" w:eastAsia="Times New Roman" w:hAnsiTheme="majorHAnsi" w:cstheme="majorHAnsi"/>
          <w:color w:val="737373"/>
          <w:sz w:val="24"/>
          <w:szCs w:val="24"/>
          <w:lang w:eastAsia="pt-BR"/>
        </w:rPr>
        <w:t> </w:t>
      </w:r>
      <w:r w:rsidRPr="004F65B8">
        <w:rPr>
          <w:rFonts w:asciiTheme="majorHAnsi" w:eastAsia="Times New Roman" w:hAnsiTheme="majorHAnsi" w:cstheme="majorHAnsi"/>
          <w:color w:val="333333"/>
          <w:sz w:val="24"/>
          <w:szCs w:val="24"/>
          <w:lang w:eastAsia="pt-BR"/>
        </w:rPr>
        <w:t>Índice de </w:t>
      </w:r>
      <w:r w:rsidRPr="004F65B8">
        <w:rPr>
          <w:rFonts w:asciiTheme="majorHAnsi" w:eastAsia="Times New Roman" w:hAnsiTheme="majorHAnsi" w:cstheme="majorHAnsi"/>
          <w:b/>
          <w:bCs/>
          <w:color w:val="333333"/>
          <w:sz w:val="24"/>
          <w:szCs w:val="24"/>
          <w:u w:val="single"/>
          <w:lang w:eastAsia="pt-BR"/>
        </w:rPr>
        <w:t>Liquidez Corrente (ILC)</w:t>
      </w:r>
      <w:r w:rsidRPr="004F65B8">
        <w:rPr>
          <w:rFonts w:asciiTheme="majorHAnsi" w:eastAsia="Times New Roman" w:hAnsiTheme="majorHAnsi" w:cstheme="majorHAnsi"/>
          <w:color w:val="333333"/>
          <w:sz w:val="24"/>
          <w:szCs w:val="24"/>
          <w:lang w:eastAsia="pt-BR"/>
        </w:rPr>
        <w:t> indica quanto a empresa possui em recursos disponíveis, bens e direitos realizáveis a curto prazo, para fazer face ao total de suas dívidas de curto prazo.</w:t>
      </w:r>
    </w:p>
    <w:p w:rsidR="00CD0C31" w:rsidRPr="004F65B8" w:rsidRDefault="00CD0C31" w:rsidP="00CD0C31">
      <w:pPr>
        <w:shd w:val="clear" w:color="auto" w:fill="FFFFFF"/>
        <w:spacing w:after="150" w:line="237" w:lineRule="atLeast"/>
        <w:jc w:val="center"/>
        <w:rPr>
          <w:rFonts w:asciiTheme="majorHAnsi" w:eastAsia="Times New Roman" w:hAnsiTheme="majorHAnsi" w:cstheme="majorHAnsi"/>
          <w:b/>
          <w:color w:val="333333"/>
          <w:sz w:val="24"/>
          <w:szCs w:val="24"/>
          <w:lang w:eastAsia="pt-BR"/>
        </w:rPr>
      </w:pPr>
      <w:r w:rsidRPr="004F65B8">
        <w:rPr>
          <w:rFonts w:asciiTheme="majorHAnsi" w:eastAsia="Times New Roman" w:hAnsiTheme="majorHAnsi" w:cstheme="majorHAnsi"/>
          <w:b/>
          <w:bCs/>
          <w:color w:val="333333"/>
          <w:sz w:val="24"/>
          <w:szCs w:val="24"/>
          <w:u w:val="single"/>
          <w:lang w:eastAsia="pt-BR"/>
        </w:rPr>
        <w:t>Solvência Geral</w:t>
      </w:r>
    </w:p>
    <w:p w:rsidR="00CD0C31" w:rsidRPr="004F65B8" w:rsidRDefault="00CD0C31" w:rsidP="00CD0C31">
      <w:pPr>
        <w:shd w:val="clear" w:color="auto" w:fill="FFFFFF"/>
        <w:spacing w:after="0" w:line="237" w:lineRule="atLeast"/>
        <w:jc w:val="center"/>
        <w:rPr>
          <w:rFonts w:asciiTheme="majorHAnsi" w:eastAsia="Times New Roman" w:hAnsiTheme="majorHAnsi" w:cstheme="majorHAnsi"/>
          <w:color w:val="333333"/>
          <w:sz w:val="24"/>
          <w:szCs w:val="24"/>
          <w:lang w:eastAsia="pt-BR"/>
        </w:rPr>
      </w:pPr>
      <w:r w:rsidRPr="004F65B8">
        <w:rPr>
          <w:rFonts w:asciiTheme="majorHAnsi" w:eastAsia="Times New Roman" w:hAnsiTheme="majorHAnsi" w:cstheme="majorHAnsi"/>
          <w:b/>
          <w:bCs/>
          <w:color w:val="333333"/>
          <w:sz w:val="24"/>
          <w:szCs w:val="24"/>
          <w:u w:val="single"/>
          <w:lang w:eastAsia="pt-BR"/>
        </w:rPr>
        <w:t> </w:t>
      </w:r>
      <w:r w:rsidRPr="004F65B8">
        <w:rPr>
          <w:rFonts w:asciiTheme="majorHAnsi" w:eastAsia="Times New Roman" w:hAnsiTheme="majorHAnsi" w:cstheme="majorHAnsi"/>
          <w:color w:val="333333"/>
          <w:sz w:val="24"/>
          <w:szCs w:val="24"/>
          <w:lang w:eastAsia="pt-BR"/>
        </w:rPr>
        <w:t>________________</w:t>
      </w:r>
      <w:r w:rsidRPr="004F65B8">
        <w:rPr>
          <w:rFonts w:asciiTheme="majorHAnsi" w:eastAsia="Times New Roman" w:hAnsiTheme="majorHAnsi" w:cstheme="majorHAnsi"/>
          <w:color w:val="333333"/>
          <w:sz w:val="24"/>
          <w:szCs w:val="24"/>
          <w:u w:val="single"/>
          <w:lang w:eastAsia="pt-BR"/>
        </w:rPr>
        <w:t>__ATIVO TOTAL</w:t>
      </w:r>
      <w:r w:rsidRPr="004F65B8">
        <w:rPr>
          <w:rFonts w:asciiTheme="majorHAnsi" w:eastAsia="Times New Roman" w:hAnsiTheme="majorHAnsi" w:cstheme="majorHAnsi"/>
          <w:color w:val="333333"/>
          <w:sz w:val="24"/>
          <w:szCs w:val="24"/>
          <w:lang w:eastAsia="pt-BR"/>
        </w:rPr>
        <w:t>_________________</w:t>
      </w:r>
    </w:p>
    <w:p w:rsidR="00CD0C31" w:rsidRPr="004F65B8" w:rsidRDefault="00CD0C31" w:rsidP="00CD0C31">
      <w:pPr>
        <w:shd w:val="clear" w:color="auto" w:fill="FFFFFF"/>
        <w:spacing w:after="0" w:line="237" w:lineRule="atLeast"/>
        <w:jc w:val="center"/>
        <w:rPr>
          <w:rFonts w:asciiTheme="majorHAnsi" w:eastAsia="Times New Roman" w:hAnsiTheme="majorHAnsi" w:cstheme="majorHAnsi"/>
          <w:color w:val="333333"/>
          <w:sz w:val="24"/>
          <w:szCs w:val="24"/>
          <w:lang w:eastAsia="pt-BR"/>
        </w:rPr>
      </w:pPr>
      <w:r w:rsidRPr="004F65B8">
        <w:rPr>
          <w:rFonts w:asciiTheme="majorHAnsi" w:eastAsia="Times New Roman" w:hAnsiTheme="majorHAnsi" w:cstheme="majorHAnsi"/>
          <w:color w:val="333333"/>
          <w:sz w:val="24"/>
          <w:szCs w:val="24"/>
          <w:lang w:eastAsia="pt-BR"/>
        </w:rPr>
        <w:t>PASSIVO CIRCULANTE + PASSIVO NÃO CIRCULANTE</w:t>
      </w:r>
    </w:p>
    <w:p w:rsidR="00CD0C31" w:rsidRPr="004F65B8" w:rsidRDefault="00CD0C31" w:rsidP="00CD0C31">
      <w:pPr>
        <w:shd w:val="clear" w:color="auto" w:fill="FFFFFF"/>
        <w:spacing w:after="150" w:line="237" w:lineRule="atLeast"/>
        <w:jc w:val="both"/>
        <w:rPr>
          <w:rFonts w:asciiTheme="majorHAnsi" w:eastAsia="Times New Roman" w:hAnsiTheme="majorHAnsi" w:cstheme="majorHAnsi"/>
          <w:color w:val="737373"/>
          <w:sz w:val="24"/>
          <w:szCs w:val="24"/>
          <w:lang w:eastAsia="pt-BR"/>
        </w:rPr>
      </w:pPr>
      <w:r w:rsidRPr="004F65B8">
        <w:rPr>
          <w:rFonts w:asciiTheme="majorHAnsi" w:eastAsia="Times New Roman" w:hAnsiTheme="majorHAnsi" w:cstheme="majorHAnsi"/>
          <w:color w:val="737373"/>
          <w:sz w:val="24"/>
          <w:szCs w:val="24"/>
          <w:lang w:eastAsia="pt-BR"/>
        </w:rPr>
        <w:t> </w:t>
      </w:r>
    </w:p>
    <w:p w:rsidR="00CD0C31" w:rsidRPr="004F65B8" w:rsidRDefault="00CD0C31" w:rsidP="00CD0C31">
      <w:pPr>
        <w:shd w:val="clear" w:color="auto" w:fill="FFFFFF"/>
        <w:spacing w:after="150" w:line="237" w:lineRule="atLeast"/>
        <w:jc w:val="both"/>
        <w:rPr>
          <w:rFonts w:asciiTheme="majorHAnsi" w:eastAsia="Times New Roman" w:hAnsiTheme="majorHAnsi" w:cstheme="majorHAnsi"/>
          <w:color w:val="737373"/>
          <w:sz w:val="24"/>
          <w:szCs w:val="24"/>
          <w:lang w:eastAsia="pt-BR"/>
        </w:rPr>
      </w:pPr>
      <w:r w:rsidRPr="004F65B8">
        <w:rPr>
          <w:rFonts w:asciiTheme="majorHAnsi" w:eastAsia="Times New Roman" w:hAnsiTheme="majorHAnsi" w:cstheme="majorHAnsi"/>
          <w:color w:val="333333"/>
          <w:sz w:val="24"/>
          <w:szCs w:val="24"/>
          <w:lang w:eastAsia="pt-BR"/>
        </w:rPr>
        <w:t>O índice de </w:t>
      </w:r>
      <w:r w:rsidRPr="004F65B8">
        <w:rPr>
          <w:rFonts w:asciiTheme="majorHAnsi" w:eastAsia="Times New Roman" w:hAnsiTheme="majorHAnsi" w:cstheme="majorHAnsi"/>
          <w:b/>
          <w:bCs/>
          <w:color w:val="333333"/>
          <w:sz w:val="24"/>
          <w:szCs w:val="24"/>
          <w:u w:val="single"/>
          <w:lang w:eastAsia="pt-BR"/>
        </w:rPr>
        <w:t>Solvência Geral (ISG)</w:t>
      </w:r>
      <w:r w:rsidRPr="004F65B8">
        <w:rPr>
          <w:rFonts w:asciiTheme="majorHAnsi" w:eastAsia="Times New Roman" w:hAnsiTheme="majorHAnsi" w:cstheme="majorHAnsi"/>
          <w:color w:val="333333"/>
          <w:sz w:val="24"/>
          <w:szCs w:val="24"/>
          <w:lang w:eastAsia="pt-BR"/>
        </w:rPr>
        <w:t> expressa o grau de garantia que a empresa dispõe em Ativos (totais), para pagamento do total de suas dívidas. Envolve além dos recursos líquidos, também os permanentes</w:t>
      </w:r>
      <w:r w:rsidRPr="004F65B8">
        <w:rPr>
          <w:rFonts w:asciiTheme="majorHAnsi" w:eastAsia="Times New Roman" w:hAnsiTheme="majorHAnsi" w:cstheme="majorHAnsi"/>
          <w:color w:val="737373"/>
          <w:sz w:val="24"/>
          <w:szCs w:val="24"/>
          <w:lang w:eastAsia="pt-BR"/>
        </w:rPr>
        <w:t>.</w:t>
      </w:r>
    </w:p>
    <w:p w:rsidR="00226991" w:rsidRDefault="00226991" w:rsidP="00226991">
      <w:pPr>
        <w:pStyle w:val="Ttulo2"/>
        <w:numPr>
          <w:ilvl w:val="0"/>
          <w:numId w:val="4"/>
        </w:numPr>
        <w:spacing w:line="259" w:lineRule="auto"/>
        <w:jc w:val="both"/>
        <w:rPr>
          <w:rStyle w:val="Forte"/>
          <w:rFonts w:cstheme="majorHAnsi"/>
          <w:color w:val="auto"/>
          <w:sz w:val="24"/>
          <w:szCs w:val="24"/>
        </w:rPr>
      </w:pPr>
      <w:r>
        <w:rPr>
          <w:rStyle w:val="Forte"/>
          <w:rFonts w:cstheme="majorHAnsi"/>
          <w:color w:val="auto"/>
          <w:sz w:val="24"/>
          <w:szCs w:val="24"/>
        </w:rPr>
        <w:t>DECLARAÇÕES ANEXO I</w:t>
      </w:r>
    </w:p>
    <w:p w:rsidR="00CD0C31" w:rsidRDefault="00CD0C31" w:rsidP="00226991">
      <w:pPr>
        <w:pStyle w:val="Ttulo2"/>
        <w:numPr>
          <w:ilvl w:val="0"/>
          <w:numId w:val="4"/>
        </w:numPr>
        <w:spacing w:line="259" w:lineRule="auto"/>
        <w:jc w:val="both"/>
        <w:rPr>
          <w:rStyle w:val="Forte"/>
          <w:rFonts w:cstheme="majorHAnsi"/>
          <w:color w:val="auto"/>
          <w:sz w:val="24"/>
          <w:szCs w:val="24"/>
        </w:rPr>
      </w:pPr>
      <w:r w:rsidRPr="004F65B8">
        <w:rPr>
          <w:rStyle w:val="Forte"/>
          <w:rFonts w:cstheme="majorHAnsi"/>
          <w:color w:val="auto"/>
          <w:sz w:val="24"/>
          <w:szCs w:val="24"/>
        </w:rPr>
        <w:t>D</w:t>
      </w:r>
      <w:r w:rsidR="00226991">
        <w:rPr>
          <w:rStyle w:val="Forte"/>
          <w:rFonts w:cstheme="majorHAnsi"/>
          <w:color w:val="auto"/>
          <w:sz w:val="24"/>
          <w:szCs w:val="24"/>
        </w:rPr>
        <w:t>ECLARAÇÃO DE VISTORIA, ANEXO II</w:t>
      </w:r>
    </w:p>
    <w:p w:rsidR="00226991" w:rsidRDefault="00226991" w:rsidP="00226991"/>
    <w:p w:rsidR="00226991" w:rsidRDefault="00226991" w:rsidP="00226991"/>
    <w:p w:rsidR="00226991" w:rsidRPr="00226991" w:rsidRDefault="00226991" w:rsidP="00226991"/>
    <w:p w:rsidR="00CD0C31" w:rsidRPr="004F65B8" w:rsidRDefault="00CD0C31" w:rsidP="00CD0C31">
      <w:pPr>
        <w:pStyle w:val="PargrafodaLista"/>
        <w:ind w:left="1622"/>
        <w:jc w:val="both"/>
        <w:rPr>
          <w:rStyle w:val="Forte"/>
          <w:rFonts w:asciiTheme="majorHAnsi" w:hAnsiTheme="majorHAnsi" w:cstheme="majorHAnsi"/>
          <w:sz w:val="24"/>
          <w:szCs w:val="24"/>
        </w:rPr>
      </w:pPr>
    </w:p>
    <w:p w:rsidR="00F25D00" w:rsidRPr="0086706C" w:rsidRDefault="0017350E" w:rsidP="0086706C">
      <w:pPr>
        <w:spacing w:after="240" w:line="360" w:lineRule="auto"/>
        <w:jc w:val="center"/>
        <w:rPr>
          <w:rFonts w:asciiTheme="majorHAnsi" w:hAnsiTheme="majorHAnsi" w:cstheme="majorHAnsi"/>
          <w:b/>
          <w:sz w:val="24"/>
          <w:szCs w:val="24"/>
        </w:rPr>
      </w:pPr>
    </w:p>
    <w:sectPr w:rsidR="00F25D00" w:rsidRPr="0086706C" w:rsidSect="0055763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E27" w:rsidRDefault="00FB1E27" w:rsidP="00B02D48">
      <w:pPr>
        <w:spacing w:after="0" w:line="240" w:lineRule="auto"/>
      </w:pPr>
      <w:r>
        <w:separator/>
      </w:r>
    </w:p>
  </w:endnote>
  <w:endnote w:type="continuationSeparator" w:id="0">
    <w:p w:rsidR="00FB1E27" w:rsidRDefault="00FB1E27" w:rsidP="00B0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50E" w:rsidRDefault="0017350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335422"/>
      <w:docPartObj>
        <w:docPartGallery w:val="Page Numbers (Bottom of Page)"/>
        <w:docPartUnique/>
      </w:docPartObj>
    </w:sdtPr>
    <w:sdtContent>
      <w:p w:rsidR="0017350E" w:rsidRDefault="0017350E">
        <w:pPr>
          <w:pStyle w:val="Rodap"/>
          <w:jc w:val="right"/>
        </w:pPr>
        <w:r>
          <w:rPr>
            <w:noProof/>
            <w:lang w:eastAsia="pt-BR"/>
          </w:rPr>
          <w:drawing>
            <wp:anchor distT="0" distB="0" distL="114300" distR="114300" simplePos="0" relativeHeight="251659264" behindDoc="1" locked="0" layoutInCell="1" allowOverlap="1" wp14:anchorId="7C26A148" wp14:editId="71064868">
              <wp:simplePos x="0" y="0"/>
              <wp:positionH relativeFrom="column">
                <wp:posOffset>529273</wp:posOffset>
              </wp:positionH>
              <wp:positionV relativeFrom="paragraph">
                <wp:posOffset>-351472</wp:posOffset>
              </wp:positionV>
              <wp:extent cx="4549534" cy="929721"/>
              <wp:effectExtent l="0" t="0" r="0" b="381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PÉ_PT_FLORINEA - Copia.png"/>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4549534" cy="929721"/>
                      </a:xfrm>
                      <a:prstGeom prst="rect">
                        <a:avLst/>
                      </a:prstGeom>
                    </pic:spPr>
                  </pic:pic>
                </a:graphicData>
              </a:graphic>
            </wp:anchor>
          </w:drawing>
        </w:r>
        <w:r>
          <w:fldChar w:fldCharType="begin"/>
        </w:r>
        <w:r>
          <w:instrText>PAGE   \* MERGEFORMAT</w:instrText>
        </w:r>
        <w:r>
          <w:fldChar w:fldCharType="separate"/>
        </w:r>
        <w:r>
          <w:rPr>
            <w:noProof/>
          </w:rPr>
          <w:t>3</w:t>
        </w:r>
        <w:r>
          <w:fldChar w:fldCharType="end"/>
        </w:r>
      </w:p>
    </w:sdtContent>
  </w:sdt>
  <w:p w:rsidR="00B02D48" w:rsidRDefault="00B02D48" w:rsidP="0017350E">
    <w:pPr>
      <w:pStyle w:val="Rodap"/>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50E" w:rsidRDefault="001735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E27" w:rsidRDefault="00FB1E27" w:rsidP="00B02D48">
      <w:pPr>
        <w:spacing w:after="0" w:line="240" w:lineRule="auto"/>
      </w:pPr>
      <w:r>
        <w:separator/>
      </w:r>
    </w:p>
  </w:footnote>
  <w:footnote w:type="continuationSeparator" w:id="0">
    <w:p w:rsidR="00FB1E27" w:rsidRDefault="00FB1E27" w:rsidP="00B02D48">
      <w:pPr>
        <w:spacing w:after="0" w:line="240" w:lineRule="auto"/>
      </w:pPr>
      <w:r>
        <w:continuationSeparator/>
      </w:r>
    </w:p>
  </w:footnote>
  <w:footnote w:id="1">
    <w:p w:rsidR="00D03DCE" w:rsidRPr="00A66FE4" w:rsidRDefault="00D03DCE" w:rsidP="00D03DCE">
      <w:pPr>
        <w:autoSpaceDE w:val="0"/>
        <w:autoSpaceDN w:val="0"/>
        <w:adjustRightInd w:val="0"/>
        <w:jc w:val="both"/>
        <w:rPr>
          <w:rFonts w:ascii="Arial" w:hAnsi="Arial" w:cs="Arial"/>
          <w:color w:val="002060"/>
          <w:sz w:val="16"/>
          <w:szCs w:val="16"/>
        </w:rPr>
      </w:pPr>
      <w:r>
        <w:rPr>
          <w:rStyle w:val="Refdenotaderodap"/>
        </w:rPr>
        <w:footnoteRef/>
      </w:r>
      <w:r>
        <w:t xml:space="preserve"> </w:t>
      </w:r>
      <w:r w:rsidRPr="00A66FE4">
        <w:rPr>
          <w:rFonts w:ascii="Arial" w:hAnsi="Arial" w:cs="Arial"/>
          <w:b/>
          <w:bCs/>
          <w:color w:val="002060"/>
          <w:sz w:val="16"/>
          <w:szCs w:val="16"/>
        </w:rPr>
        <w:t xml:space="preserve">Súmula 50: </w:t>
      </w:r>
      <w:r w:rsidRPr="00A66FE4">
        <w:rPr>
          <w:rFonts w:ascii="Arial" w:hAnsi="Arial" w:cs="Arial"/>
          <w:color w:val="002060"/>
          <w:sz w:val="16"/>
          <w:szCs w:val="16"/>
        </w:rPr>
        <w:t>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p w:rsidR="00D03DCE" w:rsidRPr="00A66FE4" w:rsidRDefault="00D03DCE" w:rsidP="00D03DCE">
      <w:pPr>
        <w:pStyle w:val="Textodenotaderodap"/>
        <w:jc w:val="both"/>
        <w:rPr>
          <w:color w:val="002060"/>
        </w:rPr>
      </w:pPr>
    </w:p>
  </w:footnote>
  <w:footnote w:id="2">
    <w:p w:rsidR="00D03DCE" w:rsidRPr="00A66FE4" w:rsidRDefault="00D03DCE" w:rsidP="00D03DCE">
      <w:pPr>
        <w:pStyle w:val="Textodenotaderodap"/>
        <w:jc w:val="both"/>
        <w:rPr>
          <w:color w:val="00206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50E" w:rsidRDefault="0017350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021" w:type="dxa"/>
      <w:tblInd w:w="6432" w:type="dxa"/>
      <w:tblCellMar>
        <w:left w:w="70" w:type="dxa"/>
        <w:right w:w="70" w:type="dxa"/>
      </w:tblCellMar>
      <w:tblLook w:val="04A0" w:firstRow="1" w:lastRow="0" w:firstColumn="1" w:lastColumn="0" w:noHBand="0" w:noVBand="1"/>
    </w:tblPr>
    <w:tblGrid>
      <w:gridCol w:w="1604"/>
      <w:gridCol w:w="1417"/>
    </w:tblGrid>
    <w:tr w:rsidR="0017350E" w:rsidRPr="0017350E" w:rsidTr="0017350E">
      <w:trPr>
        <w:trHeight w:val="312"/>
      </w:trPr>
      <w:tc>
        <w:tcPr>
          <w:tcW w:w="1604" w:type="dxa"/>
          <w:tcBorders>
            <w:top w:val="single" w:sz="4" w:space="0" w:color="auto"/>
            <w:left w:val="single" w:sz="4" w:space="0" w:color="auto"/>
            <w:bottom w:val="nil"/>
            <w:right w:val="nil"/>
          </w:tcBorders>
          <w:shd w:val="clear" w:color="auto" w:fill="auto"/>
          <w:noWrap/>
          <w:vAlign w:val="center"/>
          <w:hideMark/>
        </w:tcPr>
        <w:p w:rsidR="0017350E" w:rsidRPr="0017350E" w:rsidRDefault="0017350E" w:rsidP="0017350E">
          <w:pPr>
            <w:spacing w:after="0" w:line="240" w:lineRule="auto"/>
            <w:rPr>
              <w:rFonts w:ascii="Calibri Light" w:eastAsia="Times New Roman" w:hAnsi="Calibri Light" w:cs="Calibri Light"/>
              <w:b/>
              <w:bCs/>
              <w:color w:val="000000"/>
              <w:sz w:val="24"/>
              <w:szCs w:val="24"/>
              <w:lang w:eastAsia="pt-BR"/>
            </w:rPr>
          </w:pPr>
          <w:r w:rsidRPr="0017350E">
            <w:rPr>
              <w:rFonts w:ascii="Calibri Light" w:eastAsia="Times New Roman" w:hAnsi="Calibri Light" w:cs="Calibri Light"/>
              <w:b/>
              <w:bCs/>
              <w:color w:val="000000"/>
              <w:sz w:val="24"/>
              <w:szCs w:val="24"/>
              <w:lang w:eastAsia="pt-BR"/>
            </w:rPr>
            <w:t>Processo nº.</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350E" w:rsidRPr="0017350E" w:rsidRDefault="0017350E" w:rsidP="0017350E">
          <w:pPr>
            <w:spacing w:after="0" w:line="240" w:lineRule="auto"/>
            <w:jc w:val="center"/>
            <w:rPr>
              <w:rFonts w:ascii="Calibri Light" w:eastAsia="Times New Roman" w:hAnsi="Calibri Light" w:cs="Calibri Light"/>
              <w:color w:val="000000"/>
              <w:sz w:val="24"/>
              <w:szCs w:val="24"/>
              <w:lang w:eastAsia="pt-BR"/>
            </w:rPr>
          </w:pPr>
          <w:r w:rsidRPr="0017350E">
            <w:rPr>
              <w:rFonts w:ascii="Calibri Light" w:eastAsia="Times New Roman" w:hAnsi="Calibri Light" w:cs="Calibri Light"/>
              <w:color w:val="000000"/>
              <w:sz w:val="24"/>
              <w:szCs w:val="24"/>
              <w:lang w:eastAsia="pt-BR"/>
            </w:rPr>
            <w:t>011/2023</w:t>
          </w:r>
        </w:p>
      </w:tc>
    </w:tr>
    <w:tr w:rsidR="0017350E" w:rsidRPr="0017350E" w:rsidTr="0017350E">
      <w:trPr>
        <w:trHeight w:val="312"/>
      </w:trPr>
      <w:tc>
        <w:tcPr>
          <w:tcW w:w="1604" w:type="dxa"/>
          <w:tcBorders>
            <w:top w:val="nil"/>
            <w:left w:val="single" w:sz="4" w:space="0" w:color="auto"/>
            <w:bottom w:val="single" w:sz="4" w:space="0" w:color="auto"/>
            <w:right w:val="nil"/>
          </w:tcBorders>
          <w:shd w:val="clear" w:color="auto" w:fill="auto"/>
          <w:noWrap/>
          <w:vAlign w:val="center"/>
          <w:hideMark/>
        </w:tcPr>
        <w:p w:rsidR="0017350E" w:rsidRPr="0017350E" w:rsidRDefault="0017350E" w:rsidP="0017350E">
          <w:pPr>
            <w:spacing w:after="0" w:line="240" w:lineRule="auto"/>
            <w:rPr>
              <w:rFonts w:ascii="Calibri Light" w:eastAsia="Times New Roman" w:hAnsi="Calibri Light" w:cs="Calibri Light"/>
              <w:b/>
              <w:bCs/>
              <w:color w:val="000000"/>
              <w:sz w:val="24"/>
              <w:szCs w:val="24"/>
              <w:lang w:eastAsia="pt-BR"/>
            </w:rPr>
          </w:pPr>
          <w:r w:rsidRPr="0017350E">
            <w:rPr>
              <w:rFonts w:ascii="Calibri Light" w:eastAsia="Times New Roman" w:hAnsi="Calibri Light" w:cs="Calibri Light"/>
              <w:b/>
              <w:bCs/>
              <w:color w:val="000000"/>
              <w:sz w:val="24"/>
              <w:szCs w:val="24"/>
              <w:lang w:eastAsia="pt-BR"/>
            </w:rPr>
            <w:t>Folha nº.</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350E" w:rsidRPr="0017350E" w:rsidRDefault="0017350E" w:rsidP="0017350E">
          <w:pPr>
            <w:spacing w:after="0" w:line="240" w:lineRule="auto"/>
            <w:jc w:val="center"/>
            <w:rPr>
              <w:rFonts w:ascii="Calibri Light" w:eastAsia="Times New Roman" w:hAnsi="Calibri Light" w:cs="Calibri Light"/>
              <w:color w:val="000000"/>
              <w:sz w:val="24"/>
              <w:szCs w:val="24"/>
              <w:lang w:eastAsia="pt-BR"/>
            </w:rPr>
          </w:pPr>
          <w:r w:rsidRPr="0017350E">
            <w:rPr>
              <w:rFonts w:ascii="Calibri Light" w:eastAsia="Times New Roman" w:hAnsi="Calibri Light" w:cs="Calibri Light"/>
              <w:color w:val="000000"/>
              <w:sz w:val="24"/>
              <w:szCs w:val="24"/>
              <w:lang w:eastAsia="pt-BR"/>
            </w:rPr>
            <w:t> </w:t>
          </w:r>
        </w:p>
      </w:tc>
    </w:tr>
  </w:tbl>
  <w:p w:rsidR="00557634" w:rsidRDefault="00557634">
    <w:pPr>
      <w:pStyle w:val="Cabealho"/>
    </w:pPr>
    <w:r w:rsidRPr="00B02D48">
      <w:rPr>
        <w:noProof/>
        <w:lang w:eastAsia="pt-BR"/>
      </w:rPr>
      <w:drawing>
        <wp:anchor distT="0" distB="0" distL="114300" distR="114300" simplePos="0" relativeHeight="251658240" behindDoc="1" locked="0" layoutInCell="1" allowOverlap="1" wp14:anchorId="144996A8" wp14:editId="66256E17">
          <wp:simplePos x="0" y="0"/>
          <wp:positionH relativeFrom="margin">
            <wp:align>center</wp:align>
          </wp:positionH>
          <wp:positionV relativeFrom="paragraph">
            <wp:posOffset>-386080</wp:posOffset>
          </wp:positionV>
          <wp:extent cx="5114468" cy="1203960"/>
          <wp:effectExtent l="0" t="0" r="0" b="0"/>
          <wp:wrapNone/>
          <wp:docPr id="2" name="Imagem 2" descr="C:\Users\edson.vieir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son.vieira\Desktop\1.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114468"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7634" w:rsidRDefault="00557634">
    <w:pPr>
      <w:pStyle w:val="Cabealho"/>
    </w:pPr>
  </w:p>
  <w:p w:rsidR="00557634" w:rsidRDefault="00557634">
    <w:pPr>
      <w:pStyle w:val="Cabealho"/>
    </w:pPr>
  </w:p>
  <w:p w:rsidR="00557634" w:rsidRDefault="00557634">
    <w:pPr>
      <w:pStyle w:val="Cabealho"/>
    </w:pPr>
  </w:p>
  <w:p w:rsidR="00557634" w:rsidRDefault="0055763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50E" w:rsidRDefault="001735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E3A6E"/>
    <w:multiLevelType w:val="multilevel"/>
    <w:tmpl w:val="2F703C0A"/>
    <w:lvl w:ilvl="0">
      <w:start w:val="1"/>
      <w:numFmt w:val="decimal"/>
      <w:lvlText w:val="%1."/>
      <w:lvlJc w:val="left"/>
      <w:pPr>
        <w:ind w:left="104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732" w:hanging="720"/>
      </w:pPr>
      <w:rPr>
        <w:rFonts w:hint="default"/>
      </w:rPr>
    </w:lvl>
    <w:lvl w:ilvl="4">
      <w:start w:val="1"/>
      <w:numFmt w:val="decimal"/>
      <w:isLgl/>
      <w:lvlText w:val="%1.%2.%3.%4.%5."/>
      <w:lvlJc w:val="left"/>
      <w:pPr>
        <w:ind w:left="2202"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782"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362" w:hanging="1800"/>
      </w:pPr>
      <w:rPr>
        <w:rFonts w:hint="default"/>
      </w:rPr>
    </w:lvl>
  </w:abstractNum>
  <w:abstractNum w:abstractNumId="1">
    <w:nsid w:val="4B7171C4"/>
    <w:multiLevelType w:val="multilevel"/>
    <w:tmpl w:val="6BD07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C843B3C"/>
    <w:multiLevelType w:val="hybridMultilevel"/>
    <w:tmpl w:val="77E896F2"/>
    <w:lvl w:ilvl="0" w:tplc="0416001B">
      <w:start w:val="1"/>
      <w:numFmt w:val="lowerRoman"/>
      <w:lvlText w:val="%1."/>
      <w:lvlJc w:val="right"/>
      <w:pPr>
        <w:ind w:left="1732" w:hanging="360"/>
      </w:pPr>
    </w:lvl>
    <w:lvl w:ilvl="1" w:tplc="04160019" w:tentative="1">
      <w:start w:val="1"/>
      <w:numFmt w:val="lowerLetter"/>
      <w:lvlText w:val="%2."/>
      <w:lvlJc w:val="left"/>
      <w:pPr>
        <w:ind w:left="2452" w:hanging="360"/>
      </w:pPr>
    </w:lvl>
    <w:lvl w:ilvl="2" w:tplc="0416001B" w:tentative="1">
      <w:start w:val="1"/>
      <w:numFmt w:val="lowerRoman"/>
      <w:lvlText w:val="%3."/>
      <w:lvlJc w:val="right"/>
      <w:pPr>
        <w:ind w:left="3172" w:hanging="180"/>
      </w:pPr>
    </w:lvl>
    <w:lvl w:ilvl="3" w:tplc="0416000F" w:tentative="1">
      <w:start w:val="1"/>
      <w:numFmt w:val="decimal"/>
      <w:lvlText w:val="%4."/>
      <w:lvlJc w:val="left"/>
      <w:pPr>
        <w:ind w:left="3892" w:hanging="360"/>
      </w:pPr>
    </w:lvl>
    <w:lvl w:ilvl="4" w:tplc="04160019" w:tentative="1">
      <w:start w:val="1"/>
      <w:numFmt w:val="lowerLetter"/>
      <w:lvlText w:val="%5."/>
      <w:lvlJc w:val="left"/>
      <w:pPr>
        <w:ind w:left="4612" w:hanging="360"/>
      </w:pPr>
    </w:lvl>
    <w:lvl w:ilvl="5" w:tplc="0416001B" w:tentative="1">
      <w:start w:val="1"/>
      <w:numFmt w:val="lowerRoman"/>
      <w:lvlText w:val="%6."/>
      <w:lvlJc w:val="right"/>
      <w:pPr>
        <w:ind w:left="5332" w:hanging="180"/>
      </w:pPr>
    </w:lvl>
    <w:lvl w:ilvl="6" w:tplc="0416000F" w:tentative="1">
      <w:start w:val="1"/>
      <w:numFmt w:val="decimal"/>
      <w:lvlText w:val="%7."/>
      <w:lvlJc w:val="left"/>
      <w:pPr>
        <w:ind w:left="6052" w:hanging="360"/>
      </w:pPr>
    </w:lvl>
    <w:lvl w:ilvl="7" w:tplc="04160019" w:tentative="1">
      <w:start w:val="1"/>
      <w:numFmt w:val="lowerLetter"/>
      <w:lvlText w:val="%8."/>
      <w:lvlJc w:val="left"/>
      <w:pPr>
        <w:ind w:left="6772" w:hanging="360"/>
      </w:pPr>
    </w:lvl>
    <w:lvl w:ilvl="8" w:tplc="0416001B" w:tentative="1">
      <w:start w:val="1"/>
      <w:numFmt w:val="lowerRoman"/>
      <w:lvlText w:val="%9."/>
      <w:lvlJc w:val="right"/>
      <w:pPr>
        <w:ind w:left="7492" w:hanging="180"/>
      </w:pPr>
    </w:lvl>
  </w:abstractNum>
  <w:abstractNum w:abstractNumId="3">
    <w:nsid w:val="71AE7C2C"/>
    <w:multiLevelType w:val="hybridMultilevel"/>
    <w:tmpl w:val="5DD2C2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48"/>
    <w:rsid w:val="0008735E"/>
    <w:rsid w:val="0017350E"/>
    <w:rsid w:val="00226991"/>
    <w:rsid w:val="0043289D"/>
    <w:rsid w:val="004C6127"/>
    <w:rsid w:val="00557634"/>
    <w:rsid w:val="00866AD8"/>
    <w:rsid w:val="0086706C"/>
    <w:rsid w:val="00991254"/>
    <w:rsid w:val="00A852E6"/>
    <w:rsid w:val="00B02D48"/>
    <w:rsid w:val="00CC31C0"/>
    <w:rsid w:val="00CD0C31"/>
    <w:rsid w:val="00D03DCE"/>
    <w:rsid w:val="00DF0ECC"/>
    <w:rsid w:val="00E03007"/>
    <w:rsid w:val="00FB1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0A7C52D-2659-4DD6-972A-BEFD589B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06C"/>
    <w:pPr>
      <w:spacing w:after="200" w:line="276" w:lineRule="auto"/>
    </w:pPr>
  </w:style>
  <w:style w:type="paragraph" w:styleId="Ttulo1">
    <w:name w:val="heading 1"/>
    <w:basedOn w:val="Normal"/>
    <w:next w:val="Normal"/>
    <w:link w:val="Ttulo1Char"/>
    <w:uiPriority w:val="9"/>
    <w:qFormat/>
    <w:rsid w:val="0086706C"/>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pt-BR"/>
    </w:rPr>
  </w:style>
  <w:style w:type="paragraph" w:styleId="Ttulo2">
    <w:name w:val="heading 2"/>
    <w:basedOn w:val="Normal"/>
    <w:next w:val="Normal"/>
    <w:link w:val="Ttulo2Char"/>
    <w:uiPriority w:val="9"/>
    <w:unhideWhenUsed/>
    <w:qFormat/>
    <w:rsid w:val="00D03D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2D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2D48"/>
  </w:style>
  <w:style w:type="paragraph" w:styleId="Rodap">
    <w:name w:val="footer"/>
    <w:basedOn w:val="Normal"/>
    <w:link w:val="RodapChar"/>
    <w:uiPriority w:val="99"/>
    <w:unhideWhenUsed/>
    <w:rsid w:val="00B02D48"/>
    <w:pPr>
      <w:tabs>
        <w:tab w:val="center" w:pos="4252"/>
        <w:tab w:val="right" w:pos="8504"/>
      </w:tabs>
      <w:spacing w:after="0" w:line="240" w:lineRule="auto"/>
    </w:pPr>
  </w:style>
  <w:style w:type="character" w:customStyle="1" w:styleId="RodapChar">
    <w:name w:val="Rodapé Char"/>
    <w:basedOn w:val="Fontepargpadro"/>
    <w:link w:val="Rodap"/>
    <w:uiPriority w:val="99"/>
    <w:rsid w:val="00B02D48"/>
  </w:style>
  <w:style w:type="character" w:customStyle="1" w:styleId="Ttulo1Char">
    <w:name w:val="Título 1 Char"/>
    <w:basedOn w:val="Fontepargpadro"/>
    <w:link w:val="Ttulo1"/>
    <w:uiPriority w:val="9"/>
    <w:rsid w:val="0086706C"/>
    <w:rPr>
      <w:rFonts w:asciiTheme="majorHAnsi" w:eastAsiaTheme="majorEastAsia" w:hAnsiTheme="majorHAnsi" w:cstheme="majorBidi"/>
      <w:b/>
      <w:bCs/>
      <w:color w:val="2E74B5" w:themeColor="accent1" w:themeShade="BF"/>
      <w:sz w:val="28"/>
      <w:szCs w:val="28"/>
      <w:lang w:eastAsia="pt-BR"/>
    </w:rPr>
  </w:style>
  <w:style w:type="paragraph" w:styleId="Recuodecorpodetexto">
    <w:name w:val="Body Text Indent"/>
    <w:basedOn w:val="Normal"/>
    <w:link w:val="RecuodecorpodetextoChar"/>
    <w:uiPriority w:val="99"/>
    <w:unhideWhenUsed/>
    <w:rsid w:val="0086706C"/>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86706C"/>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D03DCE"/>
    <w:rPr>
      <w:rFonts w:asciiTheme="majorHAnsi" w:eastAsiaTheme="majorEastAsia" w:hAnsiTheme="majorHAnsi" w:cstheme="majorBidi"/>
      <w:color w:val="2E74B5" w:themeColor="accent1" w:themeShade="BF"/>
      <w:sz w:val="26"/>
      <w:szCs w:val="26"/>
    </w:rPr>
  </w:style>
  <w:style w:type="character" w:styleId="Forte">
    <w:name w:val="Strong"/>
    <w:qFormat/>
    <w:rsid w:val="00D03DCE"/>
  </w:style>
  <w:style w:type="paragraph" w:styleId="PargrafodaLista">
    <w:name w:val="List Paragraph"/>
    <w:basedOn w:val="Normal"/>
    <w:link w:val="PargrafodaListaChar"/>
    <w:uiPriority w:val="34"/>
    <w:qFormat/>
    <w:rsid w:val="00D03DCE"/>
    <w:pPr>
      <w:spacing w:after="160" w:line="259" w:lineRule="auto"/>
      <w:ind w:left="720"/>
      <w:contextualSpacing/>
    </w:pPr>
  </w:style>
  <w:style w:type="character" w:styleId="Refdenotaderodap">
    <w:name w:val="footnote reference"/>
    <w:rsid w:val="00D03DCE"/>
    <w:rPr>
      <w:vertAlign w:val="superscript"/>
    </w:rPr>
  </w:style>
  <w:style w:type="paragraph" w:styleId="Textodenotaderodap">
    <w:name w:val="footnote text"/>
    <w:basedOn w:val="Normal"/>
    <w:link w:val="TextodenotaderodapChar"/>
    <w:unhideWhenUsed/>
    <w:rsid w:val="00D03DCE"/>
    <w:pPr>
      <w:spacing w:after="0" w:line="240" w:lineRule="auto"/>
    </w:pPr>
    <w:rPr>
      <w:sz w:val="20"/>
      <w:szCs w:val="20"/>
    </w:rPr>
  </w:style>
  <w:style w:type="character" w:customStyle="1" w:styleId="TextodenotaderodapChar">
    <w:name w:val="Texto de nota de rodapé Char"/>
    <w:basedOn w:val="Fontepargpadro"/>
    <w:link w:val="Textodenotaderodap"/>
    <w:rsid w:val="00D03DCE"/>
    <w:rPr>
      <w:sz w:val="20"/>
      <w:szCs w:val="20"/>
    </w:rPr>
  </w:style>
  <w:style w:type="character" w:customStyle="1" w:styleId="PargrafodaListaChar">
    <w:name w:val="Parágrafo da Lista Char"/>
    <w:basedOn w:val="Fontepargpadro"/>
    <w:link w:val="PargrafodaLista"/>
    <w:uiPriority w:val="34"/>
    <w:rsid w:val="00D03DCE"/>
  </w:style>
  <w:style w:type="paragraph" w:styleId="Corpodetexto">
    <w:name w:val="Body Text"/>
    <w:basedOn w:val="Normal"/>
    <w:link w:val="CorpodetextoChar"/>
    <w:uiPriority w:val="99"/>
    <w:semiHidden/>
    <w:unhideWhenUsed/>
    <w:rsid w:val="00CD0C31"/>
    <w:pPr>
      <w:spacing w:after="120"/>
    </w:pPr>
  </w:style>
  <w:style w:type="character" w:customStyle="1" w:styleId="CorpodetextoChar">
    <w:name w:val="Corpo de texto Char"/>
    <w:basedOn w:val="Fontepargpadro"/>
    <w:link w:val="Corpodetexto"/>
    <w:uiPriority w:val="99"/>
    <w:semiHidden/>
    <w:rsid w:val="00CD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486690">
      <w:bodyDiv w:val="1"/>
      <w:marLeft w:val="0"/>
      <w:marRight w:val="0"/>
      <w:marTop w:val="0"/>
      <w:marBottom w:val="0"/>
      <w:divBdr>
        <w:top w:val="none" w:sz="0" w:space="0" w:color="auto"/>
        <w:left w:val="none" w:sz="0" w:space="0" w:color="auto"/>
        <w:bottom w:val="none" w:sz="0" w:space="0" w:color="auto"/>
        <w:right w:val="none" w:sz="0" w:space="0" w:color="auto"/>
      </w:divBdr>
    </w:div>
    <w:div w:id="184793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52B7-7230-4CAC-86A7-FC1B0348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651</Words>
  <Characters>3521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Gabriel Granado Vieira</dc:creator>
  <cp:keywords/>
  <dc:description/>
  <cp:lastModifiedBy>Marcos dos Reis Santos</cp:lastModifiedBy>
  <cp:revision>6</cp:revision>
  <dcterms:created xsi:type="dcterms:W3CDTF">2023-02-27T11:06:00Z</dcterms:created>
  <dcterms:modified xsi:type="dcterms:W3CDTF">2023-02-27T13:07:00Z</dcterms:modified>
</cp:coreProperties>
</file>