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5E20" w14:textId="3C9AE014" w:rsidR="00050E6C" w:rsidRPr="00050E6C" w:rsidRDefault="00050E6C" w:rsidP="00050E6C">
      <w:pPr>
        <w:jc w:val="center"/>
        <w:rPr>
          <w:rFonts w:ascii="Times New Roman" w:hAnsi="Times New Roman" w:cs="Times New Roman"/>
          <w:b/>
          <w:bCs/>
          <w:sz w:val="24"/>
          <w:szCs w:val="24"/>
        </w:rPr>
      </w:pPr>
      <w:r w:rsidRPr="00050E6C">
        <w:rPr>
          <w:rFonts w:ascii="Times New Roman" w:hAnsi="Times New Roman" w:cs="Times New Roman"/>
          <w:b/>
          <w:bCs/>
          <w:sz w:val="24"/>
          <w:szCs w:val="24"/>
        </w:rPr>
        <w:t>ANEXO IV – HABILITAÇÃO</w:t>
      </w:r>
    </w:p>
    <w:p w14:paraId="3695550D" w14:textId="219C87FE" w:rsidR="00050E6C" w:rsidRDefault="00050E6C" w:rsidP="00050E6C">
      <w:pPr>
        <w:rPr>
          <w:rFonts w:ascii="Times New Roman" w:hAnsi="Times New Roman" w:cs="Times New Roman"/>
          <w:sz w:val="24"/>
          <w:szCs w:val="24"/>
        </w:rPr>
      </w:pPr>
      <w:r w:rsidRPr="00050E6C">
        <w:rPr>
          <w:rFonts w:ascii="Times New Roman" w:hAnsi="Times New Roman" w:cs="Times New Roman"/>
          <w:sz w:val="24"/>
          <w:szCs w:val="24"/>
        </w:rPr>
        <w:t>Deverão conter obrigatoriamente, os seguintes documentos</w:t>
      </w:r>
      <w:r>
        <w:rPr>
          <w:rFonts w:ascii="Times New Roman" w:hAnsi="Times New Roman" w:cs="Times New Roman"/>
          <w:sz w:val="24"/>
          <w:szCs w:val="24"/>
        </w:rPr>
        <w:t>:</w:t>
      </w:r>
    </w:p>
    <w:p w14:paraId="768A39E3" w14:textId="1F9E90D1" w:rsidR="00050E6C" w:rsidRPr="00050E6C" w:rsidRDefault="00050E6C" w:rsidP="00D46398">
      <w:pPr>
        <w:pStyle w:val="PargrafodaLista"/>
        <w:numPr>
          <w:ilvl w:val="0"/>
          <w:numId w:val="2"/>
        </w:numPr>
        <w:ind w:left="0" w:right="-427" w:hanging="11"/>
        <w:jc w:val="both"/>
        <w:rPr>
          <w:rFonts w:ascii="Times New Roman" w:hAnsi="Times New Roman" w:cs="Times New Roman"/>
          <w:b/>
          <w:bCs/>
          <w:sz w:val="24"/>
          <w:szCs w:val="24"/>
          <w:u w:val="single"/>
        </w:rPr>
      </w:pPr>
      <w:r w:rsidRPr="00050E6C">
        <w:rPr>
          <w:rFonts w:ascii="Times New Roman" w:hAnsi="Times New Roman" w:cs="Times New Roman"/>
          <w:b/>
          <w:bCs/>
          <w:sz w:val="24"/>
          <w:szCs w:val="24"/>
          <w:u w:val="single"/>
        </w:rPr>
        <w:t>JURÍDICA:</w:t>
      </w:r>
    </w:p>
    <w:p w14:paraId="2FDBB134" w14:textId="3C8C1400"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CONTRATO SOCIAL</w:t>
      </w:r>
      <w:r w:rsidRPr="00050E6C">
        <w:rPr>
          <w:rFonts w:ascii="Times New Roman" w:hAnsi="Times New Roman" w:cs="Times New Roman"/>
          <w:sz w:val="24"/>
          <w:szCs w:val="24"/>
        </w:rPr>
        <w:t>, estatuto ou ato constitutivo, em vigor, devidamente registrado na Junta Comercial, no caso de sociedades comerciais ou empresas individuais, ou no Cartório de Registro Civil de Pessoas Jurídicas, em se tratando de sociedade civil; no caso de sociedade por ações, esta documentação deverá estar acompanhada de documentos de eleição de seus atuais administradores, bem como todas as suas alterações;</w:t>
      </w:r>
      <w:r w:rsidRPr="00050E6C">
        <w:rPr>
          <w:rFonts w:ascii="Times New Roman" w:hAnsi="Times New Roman" w:cs="Times New Roman"/>
          <w:sz w:val="24"/>
          <w:szCs w:val="24"/>
        </w:rPr>
        <w:br/>
      </w:r>
    </w:p>
    <w:p w14:paraId="1A29D58F" w14:textId="77777777" w:rsidR="00050E6C" w:rsidRPr="00050E6C" w:rsidRDefault="00050E6C" w:rsidP="00D46398">
      <w:pPr>
        <w:pStyle w:val="PargrafodaLista"/>
        <w:numPr>
          <w:ilvl w:val="0"/>
          <w:numId w:val="2"/>
        </w:numPr>
        <w:ind w:left="0" w:right="-427" w:hanging="11"/>
        <w:rPr>
          <w:rFonts w:ascii="Times New Roman" w:hAnsi="Times New Roman" w:cs="Times New Roman"/>
          <w:b/>
          <w:bCs/>
          <w:sz w:val="24"/>
          <w:szCs w:val="24"/>
          <w:u w:val="single"/>
        </w:rPr>
      </w:pPr>
      <w:r w:rsidRPr="00050E6C">
        <w:rPr>
          <w:rFonts w:ascii="Times New Roman" w:hAnsi="Times New Roman" w:cs="Times New Roman"/>
          <w:b/>
          <w:bCs/>
          <w:sz w:val="24"/>
          <w:szCs w:val="24"/>
          <w:u w:val="single"/>
        </w:rPr>
        <w:t>FISCAL, TRABALHISTA E SOCIAL:</w:t>
      </w:r>
    </w:p>
    <w:p w14:paraId="3E48AB39"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Prova de Inscrição no Cadastro Nacional de Pessoas Jurídicas (CNPJ)</w:t>
      </w:r>
      <w:r w:rsidRPr="00050E6C">
        <w:rPr>
          <w:rFonts w:ascii="Times New Roman" w:hAnsi="Times New Roman" w:cs="Times New Roman"/>
          <w:sz w:val="24"/>
          <w:szCs w:val="24"/>
        </w:rPr>
        <w:t>;</w:t>
      </w:r>
    </w:p>
    <w:p w14:paraId="1B283B8B"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i/>
          <w:iCs/>
          <w:sz w:val="24"/>
          <w:szCs w:val="24"/>
          <w:u w:val="single"/>
        </w:rPr>
      </w:pPr>
      <w:r w:rsidRPr="00050E6C">
        <w:rPr>
          <w:rFonts w:ascii="Times New Roman" w:hAnsi="Times New Roman" w:cs="Times New Roman"/>
          <w:i/>
          <w:iCs/>
          <w:sz w:val="24"/>
          <w:szCs w:val="24"/>
          <w:u w:val="single"/>
        </w:rPr>
        <w:t>Prova de Inscrição no Cadastro Municipal ou Estadual (exceto ME-EPP-MEI)</w:t>
      </w:r>
    </w:p>
    <w:p w14:paraId="78B3D054"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CERTIDÃO CONJUNTA NEGATIVA</w:t>
      </w:r>
      <w:r w:rsidRPr="00050E6C">
        <w:rPr>
          <w:rFonts w:ascii="Times New Roman" w:hAnsi="Times New Roman" w:cs="Times New Roman"/>
          <w:sz w:val="24"/>
          <w:szCs w:val="24"/>
        </w:rPr>
        <w:t xml:space="preserve"> - prova de regularidade com a Fazenda Nacional e Receita Federal, com prazo de validade em vigor;</w:t>
      </w:r>
    </w:p>
    <w:p w14:paraId="562CB2A8"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CERTIDÃO NEGATIVA DA FAZENDA ESTADUAL</w:t>
      </w:r>
      <w:r w:rsidRPr="00050E6C">
        <w:rPr>
          <w:rFonts w:ascii="Times New Roman" w:hAnsi="Times New Roman" w:cs="Times New Roman"/>
          <w:sz w:val="24"/>
          <w:szCs w:val="24"/>
        </w:rPr>
        <w:t xml:space="preserve"> - prova de regularidade com a Fazenda Estadual, com prazo de validade em vigor;</w:t>
      </w:r>
    </w:p>
    <w:p w14:paraId="1E26E3E9"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sz w:val="24"/>
          <w:szCs w:val="24"/>
        </w:rPr>
        <w:t>Para as licitantes sediadas no Estado de São Paulo, a regularidade de débito com a Fazenda Estadual será atestada pela apresentação das Certidões emitidas pela Secretaria da Fazenda (débitos não inscritos) e pela Procuradoria Geral do Estado (débitos inscritos em dívida ativa).</w:t>
      </w:r>
    </w:p>
    <w:p w14:paraId="0331AC8F"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CERTIDÃO NEGATIVA DA FAZENDA MUNICIPAL</w:t>
      </w:r>
      <w:r w:rsidRPr="00050E6C">
        <w:rPr>
          <w:rFonts w:ascii="Times New Roman" w:hAnsi="Times New Roman" w:cs="Times New Roman"/>
          <w:sz w:val="24"/>
          <w:szCs w:val="24"/>
        </w:rPr>
        <w:t xml:space="preserve"> - prova de regularidade com a Fazenda Municipal, referente a débitos mobiliários e imobiliários, com prazo de validade em vigor;</w:t>
      </w:r>
    </w:p>
    <w:p w14:paraId="6F82C6A0" w14:textId="7777777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CERTIFICADO DE REGULARIDADE FGTS</w:t>
      </w:r>
      <w:r w:rsidRPr="00050E6C">
        <w:rPr>
          <w:rFonts w:ascii="Times New Roman" w:hAnsi="Times New Roman" w:cs="Times New Roman"/>
          <w:sz w:val="24"/>
          <w:szCs w:val="24"/>
        </w:rPr>
        <w:t xml:space="preserve"> - prova de regularidade relativa ao Fundo de Garantia do Tempo de Serviço, com prazo de validade em vigor;</w:t>
      </w:r>
    </w:p>
    <w:p w14:paraId="0395123D" w14:textId="66308E8E" w:rsid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CERTIDÃO NEGATIVA DE DÉBITOS TRABALHISTAS</w:t>
      </w:r>
      <w:r w:rsidRPr="00050E6C">
        <w:rPr>
          <w:rFonts w:ascii="Times New Roman" w:hAnsi="Times New Roman" w:cs="Times New Roman"/>
          <w:sz w:val="24"/>
          <w:szCs w:val="24"/>
        </w:rPr>
        <w:t xml:space="preserve"> - prova de regularidade;</w:t>
      </w:r>
    </w:p>
    <w:p w14:paraId="6FD9DB17" w14:textId="77777777" w:rsidR="00050E6C" w:rsidRPr="00050E6C" w:rsidRDefault="00050E6C" w:rsidP="00D46398">
      <w:pPr>
        <w:pStyle w:val="PargrafodaLista"/>
        <w:ind w:left="0" w:right="-427" w:hanging="11"/>
        <w:rPr>
          <w:rFonts w:ascii="Times New Roman" w:hAnsi="Times New Roman" w:cs="Times New Roman"/>
          <w:sz w:val="24"/>
          <w:szCs w:val="24"/>
        </w:rPr>
      </w:pPr>
    </w:p>
    <w:p w14:paraId="08E94E3C" w14:textId="77777777" w:rsidR="00050E6C" w:rsidRPr="00050E6C" w:rsidRDefault="00050E6C" w:rsidP="00D46398">
      <w:pPr>
        <w:pStyle w:val="PargrafodaLista"/>
        <w:numPr>
          <w:ilvl w:val="0"/>
          <w:numId w:val="2"/>
        </w:numPr>
        <w:ind w:left="0" w:right="-427" w:hanging="11"/>
        <w:rPr>
          <w:rFonts w:ascii="Times New Roman" w:hAnsi="Times New Roman" w:cs="Times New Roman"/>
          <w:b/>
          <w:bCs/>
          <w:sz w:val="24"/>
          <w:szCs w:val="24"/>
          <w:u w:val="single"/>
        </w:rPr>
      </w:pPr>
      <w:r w:rsidRPr="00050E6C">
        <w:rPr>
          <w:rFonts w:ascii="Times New Roman" w:hAnsi="Times New Roman" w:cs="Times New Roman"/>
          <w:b/>
          <w:bCs/>
          <w:sz w:val="24"/>
          <w:szCs w:val="24"/>
          <w:u w:val="single"/>
        </w:rPr>
        <w:t>ECONOMICO – FINANCEIRA:</w:t>
      </w:r>
    </w:p>
    <w:p w14:paraId="796AFD61" w14:textId="59089547"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i/>
          <w:iCs/>
          <w:sz w:val="24"/>
          <w:szCs w:val="24"/>
          <w:u w:val="single"/>
        </w:rPr>
        <w:t>CERTIDÃO NEGATIVA DE FALÊNCIA E CONCORDATA</w:t>
      </w:r>
      <w:r w:rsidRPr="00050E6C">
        <w:rPr>
          <w:rFonts w:ascii="Times New Roman" w:hAnsi="Times New Roman" w:cs="Times New Roman"/>
          <w:sz w:val="24"/>
          <w:szCs w:val="24"/>
        </w:rPr>
        <w:t xml:space="preserve"> expedida pelo distribuidor da sede do fornecedor - </w:t>
      </w:r>
      <w:hyperlink r:id="rId7" w:anchor="art69" w:history="1">
        <w:r w:rsidRPr="00050E6C">
          <w:rPr>
            <w:rStyle w:val="Hyperlink"/>
            <w:rFonts w:ascii="Times New Roman" w:hAnsi="Times New Roman" w:cs="Times New Roman"/>
            <w:sz w:val="24"/>
            <w:szCs w:val="24"/>
          </w:rPr>
          <w:t>Lei nº 14.133, de 2021, art. 69, caput, inciso II</w:t>
        </w:r>
      </w:hyperlink>
      <w:r w:rsidRPr="00050E6C">
        <w:rPr>
          <w:rFonts w:ascii="Times New Roman" w:hAnsi="Times New Roman" w:cs="Times New Roman"/>
          <w:sz w:val="24"/>
          <w:szCs w:val="24"/>
        </w:rPr>
        <w:t>);</w:t>
      </w:r>
    </w:p>
    <w:p w14:paraId="665174F1" w14:textId="3E114ACF" w:rsidR="00050E6C" w:rsidRPr="00050E6C" w:rsidRDefault="00050E6C" w:rsidP="00D46398">
      <w:pPr>
        <w:pStyle w:val="PargrafodaLista"/>
        <w:numPr>
          <w:ilvl w:val="2"/>
          <w:numId w:val="2"/>
        </w:numPr>
        <w:ind w:left="0" w:right="-427" w:firstLine="709"/>
        <w:jc w:val="both"/>
        <w:rPr>
          <w:rFonts w:ascii="Times New Roman" w:hAnsi="Times New Roman" w:cs="Times New Roman"/>
          <w:sz w:val="24"/>
          <w:szCs w:val="24"/>
        </w:rPr>
      </w:pPr>
      <w:r w:rsidRPr="00050E6C">
        <w:rPr>
          <w:rFonts w:ascii="Times New Roman" w:hAnsi="Times New Roman" w:cs="Times New Roman"/>
          <w:sz w:val="24"/>
          <w:szCs w:val="24"/>
        </w:rPr>
        <w:t xml:space="preserve">Em caso de empresa em RECUPERAÇÃO JUDICIAL, será aceito o  Plano de Recuperação já homologado pelo juízo competente e em pleno vigor, conforme Súmula 50 do TCE/SP - </w:t>
      </w:r>
      <w:hyperlink r:id="rId8" w:history="1">
        <w:r w:rsidRPr="00050E6C">
          <w:rPr>
            <w:rStyle w:val="Hyperlink"/>
            <w:rFonts w:ascii="Times New Roman" w:hAnsi="Times New Roman" w:cs="Times New Roman"/>
            <w:sz w:val="24"/>
            <w:szCs w:val="24"/>
          </w:rPr>
          <w:t>https://www.tce.sp.gov.br/legislacao/resolucao/resolucao-052019/sumula-50?utm_source=chatgpt.com</w:t>
        </w:r>
      </w:hyperlink>
      <w:r w:rsidRPr="00050E6C">
        <w:rPr>
          <w:rFonts w:ascii="Times New Roman" w:hAnsi="Times New Roman" w:cs="Times New Roman"/>
          <w:sz w:val="24"/>
          <w:szCs w:val="24"/>
        </w:rPr>
        <w:t xml:space="preserve"> </w:t>
      </w:r>
    </w:p>
    <w:p w14:paraId="5E002FEB" w14:textId="19578900" w:rsidR="00050E6C" w:rsidRPr="00050E6C" w:rsidRDefault="00050E6C" w:rsidP="00D46398">
      <w:pPr>
        <w:pStyle w:val="PargrafodaLista"/>
        <w:numPr>
          <w:ilvl w:val="0"/>
          <w:numId w:val="2"/>
        </w:numPr>
        <w:ind w:left="0" w:right="-427" w:hanging="11"/>
        <w:rPr>
          <w:rFonts w:ascii="Times New Roman" w:hAnsi="Times New Roman" w:cs="Times New Roman"/>
          <w:b/>
          <w:bCs/>
          <w:sz w:val="24"/>
          <w:szCs w:val="24"/>
          <w:u w:val="single"/>
        </w:rPr>
      </w:pPr>
      <w:r w:rsidRPr="00050E6C">
        <w:rPr>
          <w:rFonts w:ascii="Times New Roman" w:hAnsi="Times New Roman" w:cs="Times New Roman"/>
          <w:b/>
          <w:bCs/>
          <w:sz w:val="24"/>
          <w:szCs w:val="24"/>
          <w:u w:val="single"/>
        </w:rPr>
        <w:t xml:space="preserve"> TÉCNICA:</w:t>
      </w:r>
    </w:p>
    <w:p w14:paraId="483B3991" w14:textId="2FA19E1C" w:rsidR="00050E6C" w:rsidRPr="00050E6C" w:rsidRDefault="00050E6C" w:rsidP="00D46398">
      <w:pPr>
        <w:pStyle w:val="PargrafodaLista"/>
        <w:numPr>
          <w:ilvl w:val="1"/>
          <w:numId w:val="2"/>
        </w:numPr>
        <w:ind w:left="0" w:right="-427" w:hanging="11"/>
        <w:jc w:val="both"/>
        <w:rPr>
          <w:rFonts w:ascii="Times New Roman" w:hAnsi="Times New Roman" w:cs="Times New Roman"/>
          <w:sz w:val="24"/>
          <w:szCs w:val="24"/>
        </w:rPr>
      </w:pPr>
      <w:r w:rsidRPr="00050E6C">
        <w:rPr>
          <w:rFonts w:ascii="Times New Roman" w:hAnsi="Times New Roman" w:cs="Times New Roman"/>
          <w:sz w:val="24"/>
          <w:szCs w:val="24"/>
        </w:rPr>
        <w:t xml:space="preserve"> </w:t>
      </w:r>
      <w:r w:rsidRPr="00050E6C">
        <w:rPr>
          <w:rFonts w:ascii="Times New Roman" w:hAnsi="Times New Roman" w:cs="Times New Roman"/>
          <w:sz w:val="24"/>
          <w:szCs w:val="24"/>
          <w:u w:val="single"/>
        </w:rPr>
        <w:t>ATESTADO(S) DE CAPACIDADE TÉCNICA</w:t>
      </w:r>
      <w:r w:rsidRPr="00050E6C">
        <w:rPr>
          <w:rFonts w:ascii="Times New Roman" w:hAnsi="Times New Roman" w:cs="Times New Roman"/>
          <w:sz w:val="24"/>
          <w:szCs w:val="24"/>
        </w:rPr>
        <w:t xml:space="preserve"> que comprove fornecimento de </w:t>
      </w:r>
      <w:r w:rsidRPr="00050E6C">
        <w:rPr>
          <w:rFonts w:ascii="Times New Roman" w:hAnsi="Times New Roman" w:cs="Times New Roman"/>
          <w:sz w:val="24"/>
          <w:szCs w:val="24"/>
          <w:u w:val="single"/>
        </w:rPr>
        <w:t>no mínimo 50%</w:t>
      </w:r>
      <w:r w:rsidRPr="00050E6C">
        <w:rPr>
          <w:rFonts w:ascii="Times New Roman" w:hAnsi="Times New Roman" w:cs="Times New Roman"/>
          <w:sz w:val="24"/>
          <w:szCs w:val="24"/>
        </w:rPr>
        <w:t xml:space="preserve"> do quantitativo de cada item que vir a ser adjudicado ou licitante;</w:t>
      </w:r>
    </w:p>
    <w:p w14:paraId="231C386F" w14:textId="6CFF84F4" w:rsidR="00050E6C" w:rsidRPr="00050E6C" w:rsidRDefault="00050E6C" w:rsidP="00D46398">
      <w:pPr>
        <w:pStyle w:val="PargrafodaLista"/>
        <w:numPr>
          <w:ilvl w:val="2"/>
          <w:numId w:val="2"/>
        </w:numPr>
        <w:ind w:left="0" w:right="-427" w:firstLine="709"/>
        <w:jc w:val="both"/>
        <w:rPr>
          <w:rFonts w:ascii="Times New Roman" w:hAnsi="Times New Roman" w:cs="Times New Roman"/>
          <w:sz w:val="24"/>
          <w:szCs w:val="24"/>
        </w:rPr>
      </w:pPr>
      <w:r w:rsidRPr="00050E6C">
        <w:rPr>
          <w:rFonts w:ascii="Times New Roman" w:hAnsi="Times New Roman" w:cs="Times New Roman"/>
          <w:sz w:val="24"/>
          <w:szCs w:val="24"/>
        </w:rPr>
        <w:t>O(s) atestado(s) deverá(</w:t>
      </w:r>
      <w:proofErr w:type="spellStart"/>
      <w:r w:rsidRPr="00050E6C">
        <w:rPr>
          <w:rFonts w:ascii="Times New Roman" w:hAnsi="Times New Roman" w:cs="Times New Roman"/>
          <w:sz w:val="24"/>
          <w:szCs w:val="24"/>
        </w:rPr>
        <w:t>ão</w:t>
      </w:r>
      <w:proofErr w:type="spellEnd"/>
      <w:r w:rsidRPr="00050E6C">
        <w:rPr>
          <w:rFonts w:ascii="Times New Roman" w:hAnsi="Times New Roman" w:cs="Times New Roman"/>
          <w:sz w:val="24"/>
          <w:szCs w:val="24"/>
        </w:rPr>
        <w:t>) ser fornecido(s) por pessoa jurídica de direito público ou privado e deve referir-se a produto compatível em características, quantidades e prazos com o objeto da licitação</w:t>
      </w:r>
      <w:r>
        <w:rPr>
          <w:rFonts w:ascii="Times New Roman" w:hAnsi="Times New Roman" w:cs="Times New Roman"/>
          <w:sz w:val="24"/>
          <w:szCs w:val="24"/>
        </w:rPr>
        <w:t>.</w:t>
      </w:r>
      <w:r w:rsidRPr="00050E6C">
        <w:rPr>
          <w:rFonts w:ascii="Times New Roman" w:hAnsi="Times New Roman" w:cs="Times New Roman"/>
          <w:sz w:val="24"/>
          <w:szCs w:val="24"/>
        </w:rPr>
        <w:t xml:space="preserve"> </w:t>
      </w:r>
    </w:p>
    <w:p w14:paraId="0CADBC1D" w14:textId="77777777" w:rsidR="00050E6C" w:rsidRPr="00050E6C" w:rsidRDefault="00050E6C" w:rsidP="00D46398">
      <w:pPr>
        <w:ind w:right="-427" w:hanging="11"/>
        <w:rPr>
          <w:rFonts w:ascii="Times New Roman" w:hAnsi="Times New Roman" w:cs="Times New Roman"/>
          <w:sz w:val="24"/>
          <w:szCs w:val="24"/>
        </w:rPr>
      </w:pPr>
    </w:p>
    <w:p w14:paraId="76FE5CF2" w14:textId="0FE06A71" w:rsidR="00050E6C" w:rsidRPr="00050E6C" w:rsidRDefault="00050E6C" w:rsidP="00D46398">
      <w:pPr>
        <w:pStyle w:val="PargrafodaLista"/>
        <w:numPr>
          <w:ilvl w:val="0"/>
          <w:numId w:val="2"/>
        </w:numPr>
        <w:ind w:left="0" w:right="-427" w:hanging="11"/>
        <w:rPr>
          <w:rFonts w:ascii="Times New Roman" w:hAnsi="Times New Roman" w:cs="Times New Roman"/>
          <w:b/>
          <w:bCs/>
          <w:sz w:val="24"/>
          <w:szCs w:val="24"/>
          <w:u w:val="single"/>
        </w:rPr>
      </w:pPr>
      <w:r w:rsidRPr="00050E6C">
        <w:rPr>
          <w:rFonts w:ascii="Times New Roman" w:hAnsi="Times New Roman" w:cs="Times New Roman"/>
          <w:b/>
          <w:bCs/>
          <w:sz w:val="24"/>
          <w:szCs w:val="24"/>
          <w:u w:val="single"/>
        </w:rPr>
        <w:lastRenderedPageBreak/>
        <w:t>DECLARAÇÕES:</w:t>
      </w:r>
    </w:p>
    <w:p w14:paraId="17409F56" w14:textId="0D40B2EF" w:rsidR="00050E6C" w:rsidRPr="00050E6C" w:rsidRDefault="00050E6C" w:rsidP="00D46398">
      <w:pPr>
        <w:pStyle w:val="PargrafodaLista"/>
        <w:numPr>
          <w:ilvl w:val="1"/>
          <w:numId w:val="2"/>
        </w:numPr>
        <w:ind w:left="0" w:right="-427" w:hanging="11"/>
        <w:rPr>
          <w:rFonts w:ascii="Times New Roman" w:hAnsi="Times New Roman" w:cs="Times New Roman"/>
          <w:sz w:val="24"/>
          <w:szCs w:val="24"/>
          <w:u w:val="single"/>
        </w:rPr>
      </w:pPr>
      <w:r w:rsidRPr="00050E6C">
        <w:rPr>
          <w:rFonts w:ascii="Times New Roman" w:hAnsi="Times New Roman" w:cs="Times New Roman"/>
          <w:sz w:val="24"/>
          <w:szCs w:val="24"/>
          <w:u w:val="single"/>
        </w:rPr>
        <w:t>ANEXO III – DECLARAÇÕES UNIFICADAS</w:t>
      </w:r>
    </w:p>
    <w:p w14:paraId="76D248C8" w14:textId="77777777" w:rsidR="00D46398" w:rsidRDefault="00D46398" w:rsidP="00D46398">
      <w:pPr>
        <w:pStyle w:val="PargrafodaLista"/>
        <w:ind w:left="0" w:right="-427"/>
        <w:rPr>
          <w:rFonts w:ascii="Times New Roman" w:hAnsi="Times New Roman" w:cs="Times New Roman"/>
          <w:sz w:val="24"/>
          <w:szCs w:val="24"/>
        </w:rPr>
      </w:pPr>
    </w:p>
    <w:p w14:paraId="5651A0C2" w14:textId="11C2BCD1" w:rsidR="00050E6C" w:rsidRPr="00050E6C" w:rsidRDefault="00050E6C" w:rsidP="00D46398">
      <w:pPr>
        <w:pStyle w:val="PargrafodaLista"/>
        <w:numPr>
          <w:ilvl w:val="0"/>
          <w:numId w:val="3"/>
        </w:numPr>
        <w:ind w:left="0" w:right="-427" w:hanging="11"/>
        <w:rPr>
          <w:rFonts w:ascii="Times New Roman" w:hAnsi="Times New Roman" w:cs="Times New Roman"/>
          <w:sz w:val="24"/>
          <w:szCs w:val="24"/>
        </w:rPr>
      </w:pPr>
      <w:r w:rsidRPr="00050E6C">
        <w:rPr>
          <w:rFonts w:ascii="Times New Roman" w:hAnsi="Times New Roman" w:cs="Times New Roman"/>
          <w:sz w:val="24"/>
          <w:szCs w:val="24"/>
        </w:rPr>
        <w:t xml:space="preserve">As declarações e os documentos </w:t>
      </w:r>
      <w:r w:rsidRPr="00050E6C">
        <w:rPr>
          <w:rFonts w:ascii="Times New Roman" w:hAnsi="Times New Roman" w:cs="Times New Roman"/>
          <w:b/>
          <w:bCs/>
          <w:sz w:val="24"/>
          <w:szCs w:val="24"/>
          <w:u w:val="single"/>
        </w:rPr>
        <w:t>não elencados na plataforma</w:t>
      </w:r>
      <w:r w:rsidRPr="00050E6C">
        <w:rPr>
          <w:rFonts w:ascii="Times New Roman" w:hAnsi="Times New Roman" w:cs="Times New Roman"/>
          <w:sz w:val="24"/>
          <w:szCs w:val="24"/>
        </w:rPr>
        <w:t xml:space="preserve"> portal de compras FIORILI, deverão ser adicionados na pasta </w:t>
      </w:r>
      <w:r w:rsidRPr="00050E6C">
        <w:rPr>
          <w:rFonts w:ascii="Times New Roman" w:hAnsi="Times New Roman" w:cs="Times New Roman"/>
          <w:b/>
          <w:bCs/>
          <w:sz w:val="24"/>
          <w:szCs w:val="24"/>
          <w:u w:val="single"/>
        </w:rPr>
        <w:t>“OUTROS DOCUMENTOS”</w:t>
      </w:r>
    </w:p>
    <w:p w14:paraId="5BC1FCEF" w14:textId="77777777" w:rsidR="00050E6C" w:rsidRPr="00050E6C" w:rsidRDefault="00050E6C" w:rsidP="00D46398">
      <w:pPr>
        <w:pStyle w:val="PargrafodaLista"/>
        <w:ind w:left="0" w:right="-427" w:hanging="11"/>
        <w:rPr>
          <w:rFonts w:ascii="Times New Roman" w:hAnsi="Times New Roman" w:cs="Times New Roman"/>
          <w:sz w:val="24"/>
          <w:szCs w:val="24"/>
        </w:rPr>
      </w:pPr>
    </w:p>
    <w:p w14:paraId="791B11C1" w14:textId="60DE5849" w:rsidR="00050E6C" w:rsidRPr="00050E6C" w:rsidRDefault="00050E6C" w:rsidP="00D46398">
      <w:pPr>
        <w:pStyle w:val="PargrafodaLista"/>
        <w:numPr>
          <w:ilvl w:val="0"/>
          <w:numId w:val="3"/>
        </w:numPr>
        <w:ind w:left="0" w:right="-427" w:hanging="11"/>
        <w:jc w:val="both"/>
        <w:rPr>
          <w:rFonts w:ascii="Times New Roman" w:hAnsi="Times New Roman" w:cs="Times New Roman"/>
          <w:sz w:val="24"/>
          <w:szCs w:val="24"/>
        </w:rPr>
      </w:pPr>
      <w:r>
        <w:rPr>
          <w:rFonts w:ascii="Times New Roman" w:hAnsi="Times New Roman" w:cs="Times New Roman"/>
          <w:sz w:val="24"/>
          <w:szCs w:val="24"/>
        </w:rPr>
        <w:t>Todos os documentos devem</w:t>
      </w:r>
      <w:r w:rsidRPr="00050E6C">
        <w:rPr>
          <w:rFonts w:ascii="Times New Roman" w:hAnsi="Times New Roman" w:cs="Times New Roman"/>
          <w:sz w:val="24"/>
          <w:szCs w:val="24"/>
        </w:rPr>
        <w:t xml:space="preserve"> ser apresentados em cópias devidamente autenticadas por Cartório Competente e ou apresentadas juntamente com os respectivos originais</w:t>
      </w:r>
      <w:r>
        <w:rPr>
          <w:rFonts w:ascii="Times New Roman" w:hAnsi="Times New Roman" w:cs="Times New Roman"/>
          <w:sz w:val="24"/>
          <w:szCs w:val="24"/>
        </w:rPr>
        <w:t xml:space="preserve">. </w:t>
      </w:r>
    </w:p>
    <w:p w14:paraId="64534B2E" w14:textId="77777777" w:rsidR="00997674" w:rsidRPr="00050E6C" w:rsidRDefault="00997674" w:rsidP="00D46398">
      <w:pPr>
        <w:ind w:right="-427" w:hanging="11"/>
        <w:rPr>
          <w:rFonts w:ascii="Times New Roman" w:hAnsi="Times New Roman" w:cs="Times New Roman"/>
          <w:sz w:val="24"/>
          <w:szCs w:val="24"/>
        </w:rPr>
      </w:pPr>
    </w:p>
    <w:sectPr w:rsidR="00997674" w:rsidRPr="00050E6C" w:rsidSect="00BC2C6C">
      <w:headerReference w:type="default" r:id="rId9"/>
      <w:pgSz w:w="11906" w:h="16838"/>
      <w:pgMar w:top="212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24F5" w14:textId="77777777" w:rsidR="00E165E6" w:rsidRDefault="00E165E6" w:rsidP="007642B4">
      <w:pPr>
        <w:spacing w:after="0" w:line="240" w:lineRule="auto"/>
      </w:pPr>
      <w:r>
        <w:separator/>
      </w:r>
    </w:p>
  </w:endnote>
  <w:endnote w:type="continuationSeparator" w:id="0">
    <w:p w14:paraId="08DE67E5" w14:textId="77777777" w:rsidR="00E165E6" w:rsidRDefault="00E165E6" w:rsidP="0076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C67C" w14:textId="77777777" w:rsidR="00E165E6" w:rsidRDefault="00E165E6" w:rsidP="007642B4">
      <w:pPr>
        <w:spacing w:after="0" w:line="240" w:lineRule="auto"/>
      </w:pPr>
      <w:r>
        <w:separator/>
      </w:r>
    </w:p>
  </w:footnote>
  <w:footnote w:type="continuationSeparator" w:id="0">
    <w:p w14:paraId="6D48ED2F" w14:textId="77777777" w:rsidR="00E165E6" w:rsidRDefault="00E165E6" w:rsidP="0076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C8A0" w14:textId="525737CD" w:rsidR="007642B4" w:rsidRDefault="006D3839">
    <w:pPr>
      <w:pStyle w:val="Cabealho"/>
    </w:pPr>
    <w:r>
      <w:rPr>
        <w:noProof/>
      </w:rPr>
      <w:drawing>
        <wp:anchor distT="0" distB="0" distL="114300" distR="114300" simplePos="0" relativeHeight="251658240" behindDoc="1" locked="0" layoutInCell="1" allowOverlap="1" wp14:anchorId="7704A6DC" wp14:editId="4A0F99EE">
          <wp:simplePos x="0" y="0"/>
          <wp:positionH relativeFrom="page">
            <wp:posOffset>1270</wp:posOffset>
          </wp:positionH>
          <wp:positionV relativeFrom="paragraph">
            <wp:posOffset>-480060</wp:posOffset>
          </wp:positionV>
          <wp:extent cx="7559040" cy="1080167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9040" cy="108016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3A6E"/>
    <w:multiLevelType w:val="multilevel"/>
    <w:tmpl w:val="E67CE4A8"/>
    <w:lvl w:ilvl="0">
      <w:start w:val="1"/>
      <w:numFmt w:val="decimal"/>
      <w:lvlText w:val="%1."/>
      <w:lvlJc w:val="left"/>
      <w:pPr>
        <w:ind w:left="1042" w:hanging="360"/>
      </w:pPr>
      <w:rPr>
        <w:rFonts w:hint="default"/>
      </w:rPr>
    </w:lvl>
    <w:lvl w:ilvl="1">
      <w:start w:val="1"/>
      <w:numFmt w:val="decimal"/>
      <w:isLgl/>
      <w:lvlText w:val="%1.%2."/>
      <w:lvlJc w:val="left"/>
      <w:pPr>
        <w:ind w:left="1637" w:hanging="360"/>
      </w:pPr>
      <w:rPr>
        <w:rFonts w:hint="default"/>
        <w:b w:val="0"/>
      </w:rPr>
    </w:lvl>
    <w:lvl w:ilvl="2">
      <w:start w:val="1"/>
      <w:numFmt w:val="decimal"/>
      <w:isLgl/>
      <w:lvlText w:val="%1.%2.%3."/>
      <w:lvlJc w:val="left"/>
      <w:pPr>
        <w:ind w:left="1622" w:hanging="720"/>
      </w:pPr>
      <w:rPr>
        <w:rFonts w:hint="default"/>
      </w:rPr>
    </w:lvl>
    <w:lvl w:ilvl="3">
      <w:start w:val="1"/>
      <w:numFmt w:val="decimal"/>
      <w:isLgl/>
      <w:lvlText w:val="%1.%2.%3.%4."/>
      <w:lvlJc w:val="left"/>
      <w:pPr>
        <w:ind w:left="1732"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782" w:hanging="1440"/>
      </w:pPr>
      <w:rPr>
        <w:rFonts w:hint="default"/>
      </w:rPr>
    </w:lvl>
    <w:lvl w:ilvl="7">
      <w:start w:val="1"/>
      <w:numFmt w:val="decimal"/>
      <w:isLgl/>
      <w:lvlText w:val="%1.%2.%3.%4.%5.%6.%7.%8."/>
      <w:lvlJc w:val="left"/>
      <w:pPr>
        <w:ind w:left="2892" w:hanging="1440"/>
      </w:pPr>
      <w:rPr>
        <w:rFonts w:hint="default"/>
      </w:rPr>
    </w:lvl>
    <w:lvl w:ilvl="8">
      <w:start w:val="1"/>
      <w:numFmt w:val="decimal"/>
      <w:isLgl/>
      <w:lvlText w:val="%1.%2.%3.%4.%5.%6.%7.%8.%9."/>
      <w:lvlJc w:val="left"/>
      <w:pPr>
        <w:ind w:left="3362" w:hanging="1800"/>
      </w:pPr>
      <w:rPr>
        <w:rFonts w:hint="default"/>
      </w:rPr>
    </w:lvl>
  </w:abstractNum>
  <w:abstractNum w:abstractNumId="1" w15:restartNumberingAfterBreak="0">
    <w:nsid w:val="3D5C28FF"/>
    <w:multiLevelType w:val="hybridMultilevel"/>
    <w:tmpl w:val="D9DEC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278276F"/>
    <w:multiLevelType w:val="multilevel"/>
    <w:tmpl w:val="C9CE69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B4"/>
    <w:rsid w:val="00050E6C"/>
    <w:rsid w:val="000B27D0"/>
    <w:rsid w:val="0029367A"/>
    <w:rsid w:val="00297423"/>
    <w:rsid w:val="002B3B69"/>
    <w:rsid w:val="002C0B2A"/>
    <w:rsid w:val="00487864"/>
    <w:rsid w:val="005105C9"/>
    <w:rsid w:val="0054371F"/>
    <w:rsid w:val="005C711C"/>
    <w:rsid w:val="006D3839"/>
    <w:rsid w:val="007642B4"/>
    <w:rsid w:val="00782B81"/>
    <w:rsid w:val="007B7F7D"/>
    <w:rsid w:val="00997674"/>
    <w:rsid w:val="00AA252B"/>
    <w:rsid w:val="00AD2F46"/>
    <w:rsid w:val="00BA5CF6"/>
    <w:rsid w:val="00BC2C6C"/>
    <w:rsid w:val="00D46398"/>
    <w:rsid w:val="00D9582C"/>
    <w:rsid w:val="00E05716"/>
    <w:rsid w:val="00E165E6"/>
    <w:rsid w:val="00E5474E"/>
    <w:rsid w:val="00E812D5"/>
    <w:rsid w:val="00FE3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93FD7C"/>
  <w15:chartTrackingRefBased/>
  <w15:docId w15:val="{85E8DC67-51E8-47E9-8B7B-BCB99C61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2B"/>
    <w:pPr>
      <w:spacing w:line="256" w:lineRule="auto"/>
    </w:pPr>
  </w:style>
  <w:style w:type="paragraph" w:styleId="Ttulo2">
    <w:name w:val="heading 2"/>
    <w:basedOn w:val="Normal"/>
    <w:next w:val="Normal"/>
    <w:link w:val="Ttulo2Char"/>
    <w:uiPriority w:val="9"/>
    <w:unhideWhenUsed/>
    <w:qFormat/>
    <w:rsid w:val="00050E6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42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2B4"/>
  </w:style>
  <w:style w:type="paragraph" w:styleId="Rodap">
    <w:name w:val="footer"/>
    <w:basedOn w:val="Normal"/>
    <w:link w:val="RodapChar"/>
    <w:uiPriority w:val="99"/>
    <w:unhideWhenUsed/>
    <w:rsid w:val="007642B4"/>
    <w:pPr>
      <w:tabs>
        <w:tab w:val="center" w:pos="4252"/>
        <w:tab w:val="right" w:pos="8504"/>
      </w:tabs>
      <w:spacing w:after="0" w:line="240" w:lineRule="auto"/>
    </w:pPr>
  </w:style>
  <w:style w:type="character" w:customStyle="1" w:styleId="RodapChar">
    <w:name w:val="Rodapé Char"/>
    <w:basedOn w:val="Fontepargpadro"/>
    <w:link w:val="Rodap"/>
    <w:uiPriority w:val="99"/>
    <w:rsid w:val="007642B4"/>
  </w:style>
  <w:style w:type="paragraph" w:styleId="NormalWeb">
    <w:name w:val="Normal (Web)"/>
    <w:basedOn w:val="Normal"/>
    <w:uiPriority w:val="99"/>
    <w:semiHidden/>
    <w:unhideWhenUsed/>
    <w:rsid w:val="00E54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E5474E"/>
    <w:rPr>
      <w:b/>
      <w:bCs/>
    </w:rPr>
  </w:style>
  <w:style w:type="paragraph" w:styleId="PargrafodaLista">
    <w:name w:val="List Paragraph"/>
    <w:basedOn w:val="Normal"/>
    <w:link w:val="PargrafodaListaChar"/>
    <w:uiPriority w:val="34"/>
    <w:qFormat/>
    <w:rsid w:val="00FE30CB"/>
    <w:pPr>
      <w:ind w:left="720"/>
      <w:contextualSpacing/>
    </w:pPr>
  </w:style>
  <w:style w:type="character" w:customStyle="1" w:styleId="Ttulo2Char">
    <w:name w:val="Título 2 Char"/>
    <w:basedOn w:val="Fontepargpadro"/>
    <w:link w:val="Ttulo2"/>
    <w:uiPriority w:val="9"/>
    <w:rsid w:val="00050E6C"/>
    <w:rPr>
      <w:rFonts w:asciiTheme="majorHAnsi" w:eastAsiaTheme="majorEastAsia" w:hAnsiTheme="majorHAnsi" w:cstheme="majorBidi"/>
      <w:color w:val="2F5496" w:themeColor="accent1" w:themeShade="BF"/>
      <w:sz w:val="26"/>
      <w:szCs w:val="26"/>
    </w:rPr>
  </w:style>
  <w:style w:type="character" w:customStyle="1" w:styleId="PargrafodaListaChar">
    <w:name w:val="Parágrafo da Lista Char"/>
    <w:basedOn w:val="Fontepargpadro"/>
    <w:link w:val="PargrafodaLista"/>
    <w:uiPriority w:val="34"/>
    <w:rsid w:val="00050E6C"/>
  </w:style>
  <w:style w:type="paragraph" w:customStyle="1" w:styleId="Default">
    <w:name w:val="Default"/>
    <w:rsid w:val="00050E6C"/>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050E6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7717">
      <w:bodyDiv w:val="1"/>
      <w:marLeft w:val="0"/>
      <w:marRight w:val="0"/>
      <w:marTop w:val="0"/>
      <w:marBottom w:val="0"/>
      <w:divBdr>
        <w:top w:val="none" w:sz="0" w:space="0" w:color="auto"/>
        <w:left w:val="none" w:sz="0" w:space="0" w:color="auto"/>
        <w:bottom w:val="none" w:sz="0" w:space="0" w:color="auto"/>
        <w:right w:val="none" w:sz="0" w:space="0" w:color="auto"/>
      </w:divBdr>
      <w:divsChild>
        <w:div w:id="1356662329">
          <w:marLeft w:val="0"/>
          <w:marRight w:val="0"/>
          <w:marTop w:val="0"/>
          <w:marBottom w:val="0"/>
          <w:divBdr>
            <w:top w:val="none" w:sz="0" w:space="0" w:color="auto"/>
            <w:left w:val="none" w:sz="0" w:space="0" w:color="auto"/>
            <w:bottom w:val="none" w:sz="0" w:space="0" w:color="auto"/>
            <w:right w:val="none" w:sz="0" w:space="0" w:color="auto"/>
          </w:divBdr>
          <w:divsChild>
            <w:div w:id="1318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7837">
      <w:bodyDiv w:val="1"/>
      <w:marLeft w:val="0"/>
      <w:marRight w:val="0"/>
      <w:marTop w:val="0"/>
      <w:marBottom w:val="0"/>
      <w:divBdr>
        <w:top w:val="none" w:sz="0" w:space="0" w:color="auto"/>
        <w:left w:val="none" w:sz="0" w:space="0" w:color="auto"/>
        <w:bottom w:val="none" w:sz="0" w:space="0" w:color="auto"/>
        <w:right w:val="none" w:sz="0" w:space="0" w:color="auto"/>
      </w:divBdr>
      <w:divsChild>
        <w:div w:id="876085337">
          <w:marLeft w:val="0"/>
          <w:marRight w:val="0"/>
          <w:marTop w:val="0"/>
          <w:marBottom w:val="0"/>
          <w:divBdr>
            <w:top w:val="none" w:sz="0" w:space="0" w:color="auto"/>
            <w:left w:val="none" w:sz="0" w:space="0" w:color="auto"/>
            <w:bottom w:val="none" w:sz="0" w:space="0" w:color="auto"/>
            <w:right w:val="none" w:sz="0" w:space="0" w:color="auto"/>
          </w:divBdr>
        </w:div>
        <w:div w:id="190140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e.sp.gov.br/legislacao/resolucao/resolucao-052019/sumula-50?utm_source=chatgpt.co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Italo Fernando Garcia da Silva</dc:creator>
  <cp:keywords/>
  <dc:description/>
  <cp:lastModifiedBy>Kamila Aparecida Garcia dos Santos</cp:lastModifiedBy>
  <cp:revision>4</cp:revision>
  <cp:lastPrinted>2025-10-02T17:16:00Z</cp:lastPrinted>
  <dcterms:created xsi:type="dcterms:W3CDTF">2025-09-11T18:32:00Z</dcterms:created>
  <dcterms:modified xsi:type="dcterms:W3CDTF">2025-10-10T17:33:00Z</dcterms:modified>
</cp:coreProperties>
</file>